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73.so" ContentType="application/octet-stream"/>
  <Override PartName="/word/media/rId55.so" ContentType="application/octet-stream"/>
  <Override PartName="/word/media/rId33.so" ContentType="application/octet-stream"/>
  <Override PartName="/word/media/rId47.so" ContentType="application/octet-stream"/>
  <Override PartName="/word/media/rId68.so" ContentType="application/octet-stream"/>
  <Override PartName="/word/media/rId23.so" ContentType="application/octet-stream"/>
  <Override PartName="/word/media/rId60.so" ContentType="application/octet-stream"/>
  <Override PartName="/word/media/rId43.so" ContentType="application/octet-stream"/>
  <Override PartName="/word/media/rId37.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Xa6d6bea012db49c92f3f409874b0d1e114d673c"/>
    <w:bookmarkStart w:id="79" w:name="Xe4e38c1444c7ff3afff92f655542960854ef8fd"/>
    <w:p>
      <w:pPr>
        <w:pStyle w:val="Heading2"/>
      </w:pPr>
      <w:r>
        <w:t xml:space="preserve">13.3</w:t>
      </w:r>
      <w:r>
        <w:t xml:space="preserve"> </w:t>
      </w:r>
      <w:r>
        <w:t xml:space="preserve"> </w:t>
      </w:r>
      <w:r>
        <w:t xml:space="preserve"> </w:t>
      </w:r>
      <w:r>
        <w:t xml:space="preserve">Shifting Equilibria: Le Châtelier’s Principle</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ways in which an equilibrium system can be stressed</w:t>
      </w:r>
    </w:p>
    <w:p>
      <w:pPr>
        <w:numPr>
          <w:ilvl w:val="0"/>
          <w:numId w:val="1001"/>
        </w:numPr>
        <w:pStyle w:val="Compact"/>
      </w:pPr>
      <w:r>
        <w:t xml:space="preserve">Predict the response of a stressed equilibrium using Le Châtelier’s principle</w:t>
      </w:r>
    </w:p>
    <w:bookmarkEnd w:id="20"/>
    <w:p>
      <w:pPr>
        <w:pStyle w:val="FirstParagraph"/>
      </w:pPr>
      <w:r>
        <w:t xml:space="preserve">A system at equilibrium is in a state of dynamic balance, with forward and reverse reactions taking place at equal rates. If an equilibrium system is subjected to a change in conditions that affects these reaction rates differently (a</w:t>
      </w:r>
      <w:r>
        <w:t xml:space="preserve"> </w:t>
      </w:r>
      <w:r>
        <w:rPr>
          <w:iCs/>
          <w:i/>
        </w:rPr>
        <w:t xml:space="preserve">stress</w:t>
      </w:r>
      <w:r>
        <w:t xml:space="preserve">), then the rates are no longer equal and the system is not at equilibrium. The system will subsequently experience a net reaction in the direction of greater rate (a</w:t>
      </w:r>
      <w:r>
        <w:t xml:space="preserve"> </w:t>
      </w:r>
      <w:r>
        <w:rPr>
          <w:iCs/>
          <w:i/>
        </w:rPr>
        <w:t xml:space="preserve">shift</w:t>
      </w:r>
      <w:r>
        <w:t xml:space="preserve">) that will re-establish the equilibrium. This phenomenon is summarized by</w:t>
      </w:r>
      <w:r>
        <w:t xml:space="preserve"> </w:t>
      </w:r>
      <w:bookmarkStart w:id="21" w:name="term-00001"/>
      <w:r>
        <w:t xml:space="preserve">Le Châtelier’s principle</w:t>
      </w:r>
      <w:bookmarkEnd w:id="21"/>
      <w:r>
        <w:t xml:space="preserve">:</w:t>
      </w:r>
      <w:r>
        <w:t xml:space="preserve"> </w:t>
      </w:r>
      <w:r>
        <w:rPr>
          <w:iCs/>
          <w:i/>
        </w:rPr>
        <w:t xml:space="preserve">if an equilibrium system is stressed, the system will experience a shift in response to the stress that re-establishes equilibrium</w:t>
      </w:r>
      <w:r>
        <w:t xml:space="preserve">.</w:t>
      </w:r>
    </w:p>
    <w:p>
      <w:pPr>
        <w:pStyle w:val="TextBody"/>
      </w:pPr>
      <w:r>
        <w:t xml:space="preserve">Reaction rates are affected primarily by concentrations, as described by the reaction’s rate law, and temperature, as described by the Arrhenius equation. Consequently, changes in concentration and temperature are the two stresses that can shift an equilibrium.</w:t>
      </w:r>
    </w:p>
    <w:bookmarkStart w:id="53" w:name="fs-idp73987856"/>
    <w:bookmarkStart w:id="52" w:name="effect-of-a-change-in-concentration"/>
    <w:p>
      <w:pPr>
        <w:pStyle w:val="Heading3"/>
      </w:pPr>
      <w:r>
        <w:t xml:space="preserve">Effect of a Change in Concentration</w:t>
      </w:r>
    </w:p>
    <w:p>
      <w:pPr>
        <w:pStyle w:val="FirstParagraph"/>
      </w:pPr>
      <w:r>
        <w:t xml:space="preserve">If an equilibrium system is subjected to a change in the concentration of a reactant or product species, the rate of either the forward or the reverse reaction will change. As an example, consider the equilibrium reaction</w:t>
      </w:r>
    </w:p>
    <w:bookmarkStart w:id="22" w:name="fs-idp25467280"/>
    <w:p>
      <w:pPr>
        <w:pStyle w:val="TextBody"/>
      </w:pPr>
      <m:oMath>
        <m:sSub>
          <m:e>
            <m:r>
              <m:rPr>
                <m:nor/>
                <m:sty m:val="p"/>
              </m:rPr>
              <m:t>H</m:t>
            </m:r>
          </m:e>
          <m:sub>
            <m:r>
              <m:t>2</m:t>
            </m:r>
          </m:sub>
        </m:sSub>
        <m:d>
          <m:dPr>
            <m:begChr m:val="("/>
            <m:endChr m:val=")"/>
            <m:sepChr m:val=""/>
            <m:grow/>
          </m:dPr>
          <m:e>
            <m:r>
              <m:t>g</m:t>
            </m:r>
          </m:e>
        </m:d>
        <m:r>
          <m:rPr>
            <m:sty m:val="p"/>
          </m:rPr>
          <m:t>+</m:t>
        </m:r>
        <m:sSub>
          <m:e>
            <m:r>
              <m:rPr>
                <m:nor/>
                <m:sty m:val="p"/>
              </m:rPr>
              <m:t>I</m:t>
            </m:r>
          </m:e>
          <m:sub>
            <m:r>
              <m:t>2</m:t>
            </m:r>
          </m:sub>
        </m:sSub>
        <m:d>
          <m:dPr>
            <m:begChr m:val="("/>
            <m:endChr m:val=")"/>
            <m:sepChr m:val=""/>
            <m:grow/>
          </m:dPr>
          <m:e>
            <m:r>
              <m:t>g</m:t>
            </m:r>
          </m:e>
        </m:d>
        <m:r>
          <m:rPr>
            <m:sty m:val="p"/>
          </m:rPr>
          <m:t>⇌</m:t>
        </m:r>
        <m:r>
          <m:t>2</m:t>
        </m:r>
        <m:r>
          <m:rPr>
            <m:nor/>
            <m:sty m:val="p"/>
          </m:rPr>
          <m:t>HI</m:t>
        </m:r>
        <m:d>
          <m:dPr>
            <m:begChr m:val="("/>
            <m:endChr m:val=")"/>
            <m:sepChr m:val=""/>
            <m:grow/>
          </m:dPr>
          <m:e>
            <m:r>
              <m:t>g</m:t>
            </m:r>
          </m:e>
        </m:d>
        <m:r>
          <m:t>  </m:t>
        </m:r>
        <m:sSub>
          <m:e>
            <m:r>
              <m:t>K</m:t>
            </m:r>
          </m:e>
          <m:sub>
            <m:r>
              <m:t>c</m:t>
            </m:r>
          </m:sub>
        </m:sSub>
        <m:r>
          <m:rPr>
            <m:sty m:val="p"/>
          </m:rPr>
          <m:t>=</m:t>
        </m:r>
        <m:r>
          <m:t>50.0</m:t>
        </m:r>
        <m:r>
          <m:t> </m:t>
        </m:r>
        <m:r>
          <m:rPr>
            <m:nor/>
            <m:sty m:val="p"/>
          </m:rPr>
          <m:t>at</m:t>
        </m:r>
        <m:r>
          <m:t> </m:t>
        </m:r>
        <m:r>
          <m:t>400</m:t>
        </m:r>
        <m:r>
          <m:t> </m:t>
        </m:r>
        <m:r>
          <m:rPr>
            <m:nor/>
            <m:sty m:val="p"/>
          </m:rPr>
          <m:t>°C</m:t>
        </m:r>
      </m:oMath>
    </w:p>
    <w:bookmarkEnd w:id="22"/>
    <w:p>
      <w:pPr>
        <w:pStyle w:val="TextBody"/>
      </w:pPr>
      <w:r>
        <w:t xml:space="preserve">The rate laws for the forward and reverse reactions are</w:t>
      </w:r>
    </w:p>
    <w:bookmarkStart w:id="26" w:name="fs-idm216886944"/>
    <w:p>
      <w:pPr>
        <w:pStyle w:val="TextBody"/>
      </w:pPr>
      <w:r>
        <w:drawing>
          <wp:inline>
            <wp:extent cx="3819525" cy="419100"/>
            <wp:effectExtent b="0" l="0" r="0" t="0"/>
            <wp:docPr descr="None" title="" id="24" name="Picture"/>
            <a:graphic>
              <a:graphicData uri="http://schemas.openxmlformats.org/drawingml/2006/picture">
                <pic:pic>
                  <pic:nvPicPr>
                    <pic:cNvPr descr="../resources/c6c22b0ccb20bd399834a1b0a46ef05fadeae003" id="25" name="Picture"/>
                    <pic:cNvPicPr>
                      <a:picLocks noChangeArrowheads="1" noChangeAspect="1"/>
                    </pic:cNvPicPr>
                  </pic:nvPicPr>
                  <pic:blipFill>
                    <a:blip r:embed="rId23"/>
                    <a:stretch>
                      <a:fillRect/>
                    </a:stretch>
                  </pic:blipFill>
                  <pic:spPr bwMode="auto">
                    <a:xfrm>
                      <a:off x="0" y="0"/>
                      <a:ext cx="3819525" cy="419100"/>
                    </a:xfrm>
                    <a:prstGeom prst="rect">
                      <a:avLst/>
                    </a:prstGeom>
                    <a:noFill/>
                    <a:ln w="9525">
                      <a:noFill/>
                      <a:headEnd/>
                      <a:tailEnd/>
                    </a:ln>
                  </pic:spPr>
                </pic:pic>
              </a:graphicData>
            </a:graphic>
          </wp:inline>
        </w:drawing>
      </w:r>
    </w:p>
    <w:bookmarkEnd w:id="26"/>
    <w:p>
      <w:pPr>
        <w:pStyle w:val="TextBody"/>
      </w:pPr>
      <w:r>
        <w:t xml:space="preserve">When this system is at equilibrium, the forward and reverse reaction rates are equal.</w:t>
      </w:r>
    </w:p>
    <w:bookmarkStart w:id="27" w:name="fs-idm172629696"/>
    <w:p>
      <w:pPr>
        <w:pStyle w:val="TextBody"/>
      </w:pPr>
      <m:oMath>
        <m:sSub>
          <m:e>
            <m:r>
              <m:rPr>
                <m:nor/>
                <m:sty m:val="p"/>
              </m:rPr>
              <m:t>rate</m:t>
            </m:r>
          </m:e>
          <m:sub>
            <m:r>
              <m:t>f</m:t>
            </m:r>
          </m:sub>
        </m:sSub>
        <m:r>
          <m:rPr>
            <m:sty m:val="p"/>
          </m:rPr>
          <m:t>=</m:t>
        </m:r>
        <m:sSub>
          <m:e>
            <m:r>
              <m:rPr>
                <m:nor/>
                <m:sty m:val="p"/>
              </m:rPr>
              <m:t>rate</m:t>
            </m:r>
          </m:e>
          <m:sub>
            <m:r>
              <m:t>r</m:t>
            </m:r>
          </m:sub>
        </m:sSub>
      </m:oMath>
    </w:p>
    <w:bookmarkEnd w:id="27"/>
    <w:p>
      <w:pPr>
        <w:pStyle w:val="TextBody"/>
      </w:pPr>
      <w:r>
        <w:t xml:space="preserve">If the system is stressed by adding reactant, either H</w:t>
      </w:r>
      <w:r>
        <w:rPr>
          <w:vertAlign w:val="subscript"/>
        </w:rPr>
        <w:t xml:space="preserve">2</w:t>
      </w:r>
      <w:r>
        <w:t xml:space="preserve"> </w:t>
      </w:r>
      <w:r>
        <w:t xml:space="preserve">or I</w:t>
      </w:r>
      <w:r>
        <w:rPr>
          <w:vertAlign w:val="subscript"/>
        </w:rPr>
        <w:t xml:space="preserve">2</w:t>
      </w:r>
      <w:r>
        <w:t xml:space="preserve">, the resulting increase in concentration causes the rate of the forward reaction to increase, exceeding that of the reverse reaction:</w:t>
      </w:r>
    </w:p>
    <w:bookmarkStart w:id="28" w:name="fs-idm191416320"/>
    <w:p>
      <w:pPr>
        <w:pStyle w:val="TextBody"/>
      </w:pPr>
      <m:oMath>
        <m:sSub>
          <m:e>
            <m:r>
              <m:rPr>
                <m:nor/>
                <m:sty m:val="p"/>
              </m:rPr>
              <m:t>rate</m:t>
            </m:r>
          </m:e>
          <m:sub>
            <m:r>
              <m:t>f</m:t>
            </m:r>
          </m:sub>
        </m:sSub>
        <m:r>
          <m:rPr>
            <m:sty m:val="p"/>
          </m:rPr>
          <m:t>&gt;</m:t>
        </m:r>
        <m:sSub>
          <m:e>
            <m:r>
              <m:rPr>
                <m:nor/>
                <m:sty m:val="p"/>
              </m:rPr>
              <m:t>rate</m:t>
            </m:r>
          </m:e>
          <m:sub>
            <m:r>
              <m:t>r</m:t>
            </m:r>
          </m:sub>
        </m:sSub>
      </m:oMath>
    </w:p>
    <w:bookmarkEnd w:id="28"/>
    <w:p>
      <w:pPr>
        <w:pStyle w:val="TextBody"/>
      </w:pPr>
      <w:r>
        <w:t xml:space="preserve">The system will experience a temporary net reaction in the forward direction to re-establish equilibrium (</w:t>
      </w:r>
      <w:r>
        <w:rPr>
          <w:iCs/>
          <w:i/>
        </w:rPr>
        <w:t xml:space="preserve">the equilibrium will shift right</w:t>
      </w:r>
      <w:r>
        <w:t xml:space="preserve">). This same shift will result if some product HI is removed from the system, which decreases the rate of the reverse reaction, again resulting in the same imbalance in rates.</w:t>
      </w:r>
    </w:p>
    <w:p>
      <w:pPr>
        <w:pStyle w:val="TextBody"/>
      </w:pPr>
      <w:r>
        <w:t xml:space="preserve">The same logic can be used to explain the left shift that results from either removing reactant or adding product to an equilibrium system. These stresses both result in an increased rate for the reverse reaction</w:t>
      </w:r>
    </w:p>
    <w:bookmarkStart w:id="29" w:name="fs-idm223526832"/>
    <w:p>
      <w:pPr>
        <w:pStyle w:val="TextBody"/>
      </w:pPr>
      <m:oMath>
        <m:sSub>
          <m:e>
            <m:r>
              <m:rPr>
                <m:nor/>
                <m:sty m:val="p"/>
              </m:rPr>
              <m:t>rate</m:t>
            </m:r>
          </m:e>
          <m:sub>
            <m:r>
              <m:t>f</m:t>
            </m:r>
          </m:sub>
        </m:sSub>
        <m:r>
          <m:rPr>
            <m:sty m:val="p"/>
          </m:rPr>
          <m:t>&lt;</m:t>
        </m:r>
        <m:sSub>
          <m:e>
            <m:r>
              <m:rPr>
                <m:nor/>
                <m:sty m:val="p"/>
              </m:rPr>
              <m:t>rate</m:t>
            </m:r>
          </m:e>
          <m:sub>
            <m:r>
              <m:t>r</m:t>
            </m:r>
          </m:sub>
        </m:sSub>
      </m:oMath>
    </w:p>
    <w:bookmarkEnd w:id="29"/>
    <w:p>
      <w:pPr>
        <w:pStyle w:val="TextBody"/>
      </w:pPr>
      <w:r>
        <w:t xml:space="preserve">and a temporary net reaction in the reverse direction to re-establish equilibrium.</w:t>
      </w:r>
    </w:p>
    <w:p>
      <w:pPr>
        <w:pStyle w:val="TextBody"/>
      </w:pPr>
      <w:r>
        <w:t xml:space="preserve">As an alternative to this kinetic interpretation, the effect of changes in concentration on equilibria can be rationalized in terms of reaction quotients. When the system is at equilibrium,</w:t>
      </w:r>
    </w:p>
    <w:bookmarkStart w:id="30" w:name="fs-idm212413904"/>
    <w:p>
      <w:pPr>
        <w:pStyle w:val="TextBody"/>
      </w:pPr>
      <m:oMath>
        <m:sSub>
          <m:e>
            <m:r>
              <m:t>Q</m:t>
            </m:r>
          </m:e>
          <m:sub>
            <m:r>
              <m:t>c</m:t>
            </m:r>
          </m:sub>
        </m:sSub>
        <m:r>
          <m:rPr>
            <m:sty m:val="p"/>
          </m:rPr>
          <m:t>=</m:t>
        </m:r>
        <m:f>
          <m:fPr>
            <m:type m:val="bar"/>
          </m:fPr>
          <m:num>
            <m:sSup>
              <m:e>
                <m:r>
                  <m:rPr>
                    <m:sty m:val="p"/>
                  </m:rPr>
                  <m:t>[</m:t>
                </m:r>
                <m:r>
                  <m:rPr>
                    <m:nor/>
                    <m:sty m:val="p"/>
                  </m:rPr>
                  <m:t>HI</m:t>
                </m:r>
                <m:r>
                  <m:rPr>
                    <m:sty m:val="p"/>
                  </m:rPr>
                  <m:t>]</m:t>
                </m:r>
              </m:e>
              <m:sup>
                <m:r>
                  <m:t>2</m:t>
                </m:r>
              </m:sup>
            </m:sSup>
          </m:num>
          <m:den>
            <m:r>
              <m:rPr>
                <m:sty m:val="p"/>
              </m:rPr>
              <m:t>[</m:t>
            </m:r>
            <m:sSub>
              <m:e>
                <m:r>
                  <m:rPr>
                    <m:nor/>
                    <m:sty m:val="p"/>
                  </m:rPr>
                  <m:t>H</m:t>
                </m:r>
              </m:e>
              <m:sub>
                <m:r>
                  <m:t>2</m:t>
                </m:r>
              </m:sub>
            </m:sSub>
            <m:r>
              <m:rPr>
                <m:sty m:val="p"/>
              </m:rPr>
              <m:t>]</m:t>
            </m:r>
            <m:r>
              <m:rPr>
                <m:sty m:val="p"/>
              </m:rPr>
              <m:t>[</m:t>
            </m:r>
            <m:sSub>
              <m:e>
                <m:r>
                  <m:rPr>
                    <m:nor/>
                    <m:sty m:val="p"/>
                  </m:rPr>
                  <m:t>I</m:t>
                </m:r>
              </m:e>
              <m:sub>
                <m:r>
                  <m:t>2</m:t>
                </m:r>
              </m:sub>
            </m:sSub>
            <m:r>
              <m:rPr>
                <m:sty m:val="p"/>
              </m:rPr>
              <m:t>]</m:t>
            </m:r>
          </m:den>
        </m:f>
        <m:r>
          <m:rPr>
            <m:sty m:val="p"/>
          </m:rPr>
          <m:t>=</m:t>
        </m:r>
        <m:sSub>
          <m:e>
            <m:r>
              <m:t>K</m:t>
            </m:r>
          </m:e>
          <m:sub>
            <m:r>
              <m:t>c</m:t>
            </m:r>
          </m:sub>
        </m:sSub>
      </m:oMath>
    </w:p>
    <w:bookmarkEnd w:id="30"/>
    <w:p>
      <w:pPr>
        <w:pStyle w:val="TextBody"/>
      </w:pPr>
      <w:r>
        <w:t xml:space="preserve">If reactant is added (increasing the denominator of the reaction quotient) or product is removed (decreasing the numerator), then</w:t>
      </w:r>
      <w:r>
        <w:t xml:space="preserve"> </w:t>
      </w:r>
      <w:r>
        <w:rPr>
          <w:iCs/>
          <w:i/>
        </w:rPr>
        <w:t xml:space="preserve">Q</w:t>
      </w:r>
      <w:r>
        <w:rPr>
          <w:vertAlign w:val="subscript"/>
          <w:iCs/>
          <w:i/>
        </w:rPr>
        <w:t xml:space="preserve">c</w:t>
      </w:r>
      <w:r>
        <w:t xml:space="preserve"> </w:t>
      </w:r>
      <w:r>
        <w:t xml:space="preserve">&lt;</w:t>
      </w:r>
      <w:r>
        <w:t xml:space="preserve"> </w:t>
      </w:r>
      <w:r>
        <w:rPr>
          <w:iCs/>
          <w:i/>
        </w:rPr>
        <w:t xml:space="preserve">K</w:t>
      </w:r>
      <w:r>
        <w:rPr>
          <w:vertAlign w:val="subscript"/>
          <w:iCs/>
          <w:i/>
        </w:rPr>
        <w:t xml:space="preserve">c</w:t>
      </w:r>
      <w:r>
        <w:t xml:space="preserve"> </w:t>
      </w:r>
      <w:r>
        <w:t xml:space="preserve">and the equilibrium will shift right. Note that the three different ways of inducing this stress result in three different changes in the composition of the equilibrium mixture. If H</w:t>
      </w:r>
      <w:r>
        <w:rPr>
          <w:vertAlign w:val="subscript"/>
        </w:rPr>
        <w:t xml:space="preserve">2</w:t>
      </w:r>
      <w:r>
        <w:t xml:space="preserve"> </w:t>
      </w:r>
      <w:r>
        <w:t xml:space="preserve">is added, the right shift will consume I</w:t>
      </w:r>
      <w:r>
        <w:rPr>
          <w:vertAlign w:val="subscript"/>
        </w:rPr>
        <w:t xml:space="preserve">2</w:t>
      </w:r>
      <w:r>
        <w:t xml:space="preserve"> </w:t>
      </w:r>
      <w:r>
        <w:t xml:space="preserve">and produce HI as equilibrium is re-established, yielding a mixture with a greater concentrations of H</w:t>
      </w:r>
      <w:r>
        <w:rPr>
          <w:vertAlign w:val="subscript"/>
        </w:rPr>
        <w:t xml:space="preserve">2</w:t>
      </w:r>
      <w:r>
        <w:t xml:space="preserve"> </w:t>
      </w:r>
      <w:r>
        <w:t xml:space="preserve">and HI and a lesser concentration of I</w:t>
      </w:r>
      <w:r>
        <w:rPr>
          <w:vertAlign w:val="subscript"/>
        </w:rPr>
        <w:t xml:space="preserve">2</w:t>
      </w:r>
      <w:r>
        <w:t xml:space="preserve"> </w:t>
      </w:r>
      <w:r>
        <w:t xml:space="preserve">than was present before. If I</w:t>
      </w:r>
      <w:r>
        <w:rPr>
          <w:vertAlign w:val="subscript"/>
        </w:rPr>
        <w:t xml:space="preserve">2</w:t>
      </w:r>
      <w:r>
        <w:t xml:space="preserve"> </w:t>
      </w:r>
      <w:r>
        <w:t xml:space="preserve">is added, the new equilibrium mixture will have greater concentrations of I</w:t>
      </w:r>
      <w:r>
        <w:rPr>
          <w:vertAlign w:val="subscript"/>
        </w:rPr>
        <w:t xml:space="preserve">2</w:t>
      </w:r>
      <w:r>
        <w:t xml:space="preserve"> </w:t>
      </w:r>
      <w:r>
        <w:t xml:space="preserve">and HI and a lesser concentration of H</w:t>
      </w:r>
      <w:r>
        <w:rPr>
          <w:vertAlign w:val="subscript"/>
        </w:rPr>
        <w:t xml:space="preserve">2</w:t>
      </w:r>
      <w:r>
        <w:t xml:space="preserve">. Finally, if HI is removed, the concentrations of all three species will be lower when equilibrium is reestablished. Despite these differences in composition,</w:t>
      </w:r>
      <w:r>
        <w:t xml:space="preserve"> </w:t>
      </w:r>
      <w:r>
        <w:rPr>
          <w:iCs/>
          <w:i/>
        </w:rPr>
        <w:t xml:space="preserve">the value of the equilibrium constant will be the same after the stress as it was before</w:t>
      </w:r>
      <w:r>
        <w:t xml:space="preserve"> </w:t>
      </w:r>
      <w:r>
        <w:t xml:space="preserve">(per the law of mass action). The same logic may be applied for stresses involving removing reactants or adding product, in which case</w:t>
      </w:r>
      <w:r>
        <w:t xml:space="preserve"> </w:t>
      </w:r>
      <w:r>
        <w:rPr>
          <w:iCs/>
          <w:i/>
        </w:rPr>
        <w:t xml:space="preserve">Q</w:t>
      </w:r>
      <w:r>
        <w:rPr>
          <w:vertAlign w:val="subscript"/>
          <w:iCs/>
          <w:i/>
        </w:rPr>
        <w:t xml:space="preserve">c</w:t>
      </w:r>
      <w:r>
        <w:t xml:space="preserve"> </w:t>
      </w:r>
      <w:r>
        <w:t xml:space="preserve">&gt;</w:t>
      </w:r>
      <w:r>
        <w:t xml:space="preserve"> </w:t>
      </w:r>
      <w:r>
        <w:rPr>
          <w:iCs/>
          <w:i/>
        </w:rPr>
        <w:t xml:space="preserve">K</w:t>
      </w:r>
      <w:r>
        <w:rPr>
          <w:vertAlign w:val="subscript"/>
          <w:iCs/>
          <w:i/>
        </w:rPr>
        <w:t xml:space="preserve">c</w:t>
      </w:r>
      <w:r>
        <w:t xml:space="preserve"> </w:t>
      </w:r>
      <w:r>
        <w:t xml:space="preserve">and the equilibrium will shift left.</w:t>
      </w:r>
    </w:p>
    <w:p>
      <w:pPr>
        <w:pStyle w:val="TextBody"/>
      </w:pPr>
      <w:r>
        <w:t xml:space="preserve">For gas-phase equilibria such as this one, some additional perspectives on changing the concentrations of reactants and products are worthy of mention. The partial pressure</w:t>
      </w:r>
      <w:r>
        <w:t xml:space="preserve"> </w:t>
      </w:r>
      <w:r>
        <w:rPr>
          <w:iCs/>
          <w:i/>
        </w:rPr>
        <w:t xml:space="preserve">P</w:t>
      </w:r>
      <w:r>
        <w:t xml:space="preserve"> </w:t>
      </w:r>
      <w:r>
        <w:t xml:space="preserve">of an ideal gas is proportional to its molar concentration</w:t>
      </w:r>
      <w:r>
        <w:t xml:space="preserve"> </w:t>
      </w:r>
      <w:r>
        <w:rPr>
          <w:iCs/>
          <w:i/>
        </w:rPr>
        <w:t xml:space="preserve">M</w:t>
      </w:r>
      <w:r>
        <w:t xml:space="preserve">,</w:t>
      </w:r>
    </w:p>
    <w:bookmarkStart w:id="31" w:name="fs-idm212442528"/>
    <w:p>
      <w:pPr>
        <w:pStyle w:val="TextBody"/>
      </w:pPr>
      <m:oMath>
        <m:r>
          <m:t>M</m:t>
        </m:r>
        <m:r>
          <m:rPr>
            <m:sty m:val="p"/>
          </m:rPr>
          <m:t>=</m:t>
        </m:r>
        <m:f>
          <m:fPr>
            <m:type m:val="bar"/>
          </m:fPr>
          <m:num>
            <m:r>
              <m:t>n</m:t>
            </m:r>
          </m:num>
          <m:den>
            <m:r>
              <m:t>V</m:t>
            </m:r>
          </m:den>
        </m:f>
        <m:r>
          <m:rPr>
            <m:sty m:val="p"/>
          </m:rPr>
          <m:t>=</m:t>
        </m:r>
        <m:f>
          <m:fPr>
            <m:type m:val="bar"/>
          </m:fPr>
          <m:num>
            <m:r>
              <m:t>P</m:t>
            </m:r>
          </m:num>
          <m:den>
            <m:r>
              <m:t>R</m:t>
            </m:r>
            <m:r>
              <m:t>T</m:t>
            </m:r>
          </m:den>
        </m:f>
      </m:oMath>
    </w:p>
    <w:bookmarkEnd w:id="31"/>
    <w:p>
      <w:pPr>
        <w:pStyle w:val="TextBody"/>
      </w:pPr>
      <w:r>
        <w:t xml:space="preserve">and so changes in the partial pressures of any reactant or product are essentially changes in concentrations and thus yield the same effects on equilibria. Aside from adding or removing reactant or product, the pressures (concentrations) of species in a gas-phase equilibrium can also be changed by</w:t>
      </w:r>
      <w:r>
        <w:t xml:space="preserve"> </w:t>
      </w:r>
      <w:r>
        <w:rPr>
          <w:iCs/>
          <w:i/>
        </w:rPr>
        <w:t xml:space="preserve">changing the volume occupied by the system</w:t>
      </w:r>
      <w:r>
        <w:t xml:space="preserve">. Since all species of a gas-phase equilibrium occupy the same volume, a given change in volume will cause the same change in concentration for both reactants and products. In order to discern what shift, if any, this type of stress will induce the stoichiometry of the reaction must be considered.</w:t>
      </w:r>
    </w:p>
    <w:p>
      <w:pPr>
        <w:pStyle w:val="TextBody"/>
      </w:pPr>
      <w:r>
        <w:t xml:space="preserve">At equilibrium, the reaction H</w:t>
      </w:r>
      <w:r>
        <w:rPr>
          <w:vertAlign w:val="subscript"/>
        </w:rPr>
        <w:t xml:space="preserve">2</w:t>
      </w:r>
      <w:r>
        <w:t xml:space="preserve">(</w:t>
      </w:r>
      <w:r>
        <w:rPr>
          <w:iCs/>
          <w:i/>
        </w:rPr>
        <w:t xml:space="preserve">g</w:t>
      </w:r>
      <w:r>
        <w:t xml:space="preserve">) + I</w:t>
      </w:r>
      <w:r>
        <w:rPr>
          <w:vertAlign w:val="subscript"/>
        </w:rPr>
        <w:t xml:space="preserve">2</w:t>
      </w:r>
      <w:r>
        <w:t xml:space="preserve">(</w:t>
      </w:r>
      <w:r>
        <w:rPr>
          <w:iCs/>
          <w:i/>
        </w:rPr>
        <w:t xml:space="preserve">g</w:t>
      </w:r>
      <w:r>
        <w:t xml:space="preserve">) ⇌ 2HI(</w:t>
      </w:r>
      <w:r>
        <w:rPr>
          <w:iCs/>
          <w:i/>
        </w:rPr>
        <w:t xml:space="preserve">g</w:t>
      </w:r>
      <w:r>
        <w:t xml:space="preserve">) is described by the reaction quotient</w:t>
      </w:r>
    </w:p>
    <w:bookmarkStart w:id="32" w:name="fs-idm216219232"/>
    <w:p>
      <w:pPr>
        <w:pStyle w:val="TextBody"/>
      </w:pPr>
      <m:oMath>
        <m:sSub>
          <m:e>
            <m:r>
              <m:t>Q</m:t>
            </m:r>
          </m:e>
          <m:sub>
            <m:r>
              <m:t>P</m:t>
            </m:r>
          </m:sub>
        </m:sSub>
        <m:r>
          <m:rPr>
            <m:sty m:val="p"/>
          </m:rPr>
          <m:t>=</m:t>
        </m:r>
        <m:f>
          <m:fPr>
            <m:type m:val="bar"/>
          </m:fPr>
          <m:num>
            <m:sSub>
              <m:e>
                <m:r>
                  <m:t>P</m:t>
                </m:r>
              </m:e>
              <m:sub>
                <m:r>
                  <m:rPr>
                    <m:nor/>
                    <m:sty m:val="p"/>
                  </m:rPr>
                  <m:t>HI</m:t>
                </m:r>
              </m:sub>
            </m:sSub>
            <m:sSup>
              <m:e>
                <m:r>
                  <m:t>​</m:t>
                </m:r>
              </m:e>
              <m:sup>
                <m:r>
                  <m:t>2</m:t>
                </m:r>
              </m:sup>
            </m:sSup>
          </m:num>
          <m:den>
            <m:sSub>
              <m:e>
                <m:r>
                  <m:t>P</m:t>
                </m:r>
              </m:e>
              <m:sub>
                <m:sSub>
                  <m:e>
                    <m:r>
                      <m:t>H</m:t>
                    </m:r>
                  </m:e>
                  <m:sub>
                    <m:r>
                      <m:t>2</m:t>
                    </m:r>
                  </m:sub>
                </m:sSub>
              </m:sub>
            </m:sSub>
            <m:r>
              <m:t> </m:t>
            </m:r>
            <m:sSub>
              <m:e>
                <m:r>
                  <m:t>P</m:t>
                </m:r>
              </m:e>
              <m:sub>
                <m:sSub>
                  <m:e>
                    <m:r>
                      <m:t>I</m:t>
                    </m:r>
                  </m:e>
                  <m:sub>
                    <m:r>
                      <m:t>2</m:t>
                    </m:r>
                  </m:sub>
                </m:sSub>
              </m:sub>
            </m:sSub>
          </m:den>
        </m:f>
        <m:r>
          <m:rPr>
            <m:sty m:val="p"/>
          </m:rPr>
          <m:t>=</m:t>
        </m:r>
        <m:sSub>
          <m:e>
            <m:r>
              <m:t>K</m:t>
            </m:r>
          </m:e>
          <m:sub>
            <m:r>
              <m:t>P</m:t>
            </m:r>
          </m:sub>
        </m:sSub>
      </m:oMath>
    </w:p>
    <w:bookmarkEnd w:id="32"/>
    <w:p>
      <w:pPr>
        <w:pStyle w:val="TextBody"/>
      </w:pPr>
      <w:r>
        <w:t xml:space="preserve">If the volume occupied by an equilibrium mixture of these species is decreased by a factor of 3, the partial pressures of all three species will be increased by a factor of 3:</w:t>
      </w:r>
    </w:p>
    <w:bookmarkStart w:id="36" w:name="fs-idm214218336"/>
    <w:p>
      <w:pPr>
        <w:pStyle w:val="TextBody"/>
      </w:pPr>
      <w:r>
        <w:drawing>
          <wp:inline>
            <wp:extent cx="3009900" cy="657225"/>
            <wp:effectExtent b="0" l="0" r="0" t="0"/>
            <wp:docPr descr="None" title="" id="34" name="Picture"/>
            <a:graphic>
              <a:graphicData uri="http://schemas.openxmlformats.org/drawingml/2006/picture">
                <pic:pic>
                  <pic:nvPicPr>
                    <pic:cNvPr descr="../resources/76607f25648b707e3cba279fb0f4becfb29b7ae3" id="35" name="Picture"/>
                    <pic:cNvPicPr>
                      <a:picLocks noChangeArrowheads="1" noChangeAspect="1"/>
                    </pic:cNvPicPr>
                  </pic:nvPicPr>
                  <pic:blipFill>
                    <a:blip r:embed="rId33"/>
                    <a:stretch>
                      <a:fillRect/>
                    </a:stretch>
                  </pic:blipFill>
                  <pic:spPr bwMode="auto">
                    <a:xfrm>
                      <a:off x="0" y="0"/>
                      <a:ext cx="3009900" cy="657225"/>
                    </a:xfrm>
                    <a:prstGeom prst="rect">
                      <a:avLst/>
                    </a:prstGeom>
                    <a:noFill/>
                    <a:ln w="9525">
                      <a:noFill/>
                      <a:headEnd/>
                      <a:tailEnd/>
                    </a:ln>
                  </pic:spPr>
                </pic:pic>
              </a:graphicData>
            </a:graphic>
          </wp:inline>
        </w:drawing>
      </w:r>
    </w:p>
    <w:bookmarkEnd w:id="36"/>
    <w:p>
      <w:pPr>
        <w:pStyle w:val="TextBody"/>
      </w:pPr>
      <w:r>
        <w:t xml:space="preserve">And so, changing the volume of this gas-phase equilibrium mixture does not result in a shift of the equilibrium.</w:t>
      </w:r>
    </w:p>
    <w:p>
      <w:pPr>
        <w:pStyle w:val="TextBody"/>
      </w:pPr>
      <w:r>
        <w:t xml:space="preserve">A similar treatment of a different system, 2NO</w:t>
      </w:r>
      <w:r>
        <w:rPr>
          <w:vertAlign w:val="subscript"/>
        </w:rPr>
        <w:t xml:space="preserve">2</w:t>
      </w:r>
      <w:r>
        <w:t xml:space="preserve">(</w:t>
      </w:r>
      <w:r>
        <w:rPr>
          <w:iCs/>
          <w:i/>
        </w:rPr>
        <w:t xml:space="preserve">g</w:t>
      </w:r>
      <w:r>
        <w:t xml:space="preserve">) ⇌ 2 NO(</w:t>
      </w:r>
      <w:r>
        <w:rPr>
          <w:iCs/>
          <w:i/>
        </w:rPr>
        <w:t xml:space="preserve">g</w:t>
      </w:r>
      <w:r>
        <w:t xml:space="preserve">) + O</w:t>
      </w:r>
      <w:r>
        <w:rPr>
          <w:vertAlign w:val="subscript"/>
        </w:rPr>
        <w:t xml:space="preserve">2</w:t>
      </w:r>
      <w:r>
        <w:t xml:space="preserve">(</w:t>
      </w:r>
      <w:r>
        <w:rPr>
          <w:iCs/>
          <w:i/>
        </w:rPr>
        <w:t xml:space="preserve">g</w:t>
      </w:r>
      <w:r>
        <w:t xml:space="preserve">), however, yields a different result:</w:t>
      </w:r>
    </w:p>
    <w:bookmarkStart w:id="40" w:name="fs-idm215260720"/>
    <w:p>
      <w:pPr>
        <w:pStyle w:val="TextBody"/>
      </w:pPr>
      <w:r>
        <w:drawing>
          <wp:inline>
            <wp:extent cx="4343400" cy="866775"/>
            <wp:effectExtent b="0" l="0" r="0" t="0"/>
            <wp:docPr descr="None" title="" id="38" name="Picture"/>
            <a:graphic>
              <a:graphicData uri="http://schemas.openxmlformats.org/drawingml/2006/picture">
                <pic:pic>
                  <pic:nvPicPr>
                    <pic:cNvPr descr="../resources/f97d8040bf3c01e3fb66185115f003b4b34ec84c" id="39" name="Picture"/>
                    <pic:cNvPicPr>
                      <a:picLocks noChangeArrowheads="1" noChangeAspect="1"/>
                    </pic:cNvPicPr>
                  </pic:nvPicPr>
                  <pic:blipFill>
                    <a:blip r:embed="rId37"/>
                    <a:stretch>
                      <a:fillRect/>
                    </a:stretch>
                  </pic:blipFill>
                  <pic:spPr bwMode="auto">
                    <a:xfrm>
                      <a:off x="0" y="0"/>
                      <a:ext cx="4343400" cy="866775"/>
                    </a:xfrm>
                    <a:prstGeom prst="rect">
                      <a:avLst/>
                    </a:prstGeom>
                    <a:noFill/>
                    <a:ln w="9525">
                      <a:noFill/>
                      <a:headEnd/>
                      <a:tailEnd/>
                    </a:ln>
                  </pic:spPr>
                </pic:pic>
              </a:graphicData>
            </a:graphic>
          </wp:inline>
        </w:drawing>
      </w:r>
    </w:p>
    <w:bookmarkEnd w:id="40"/>
    <w:p>
      <w:pPr>
        <w:pStyle w:val="TextBody"/>
      </w:pPr>
      <w:r>
        <w:t xml:space="preserve">In this case, the change in volume results in a reaction quotient greater than the equilibrium constant, and so the equilibrium will shift left.</w:t>
      </w:r>
    </w:p>
    <w:p>
      <w:pPr>
        <w:pStyle w:val="TextBody"/>
      </w:pPr>
      <w:r>
        <w:t xml:space="preserve">These results illustrate the relationship between the stoichiometry of a gas-phase equilibrium and the effect of a volume-induced pressure (concentration) change. If the total molar amounts of reactants and products are equal, as in the first example, a change in volume does not shift the equilibrium. If the molar amounts of reactants and products are different, a change in volume will shift the equilibrium in a direction that better “accommodates” the volume change. In the second example, two moles of reactant (NO</w:t>
      </w:r>
      <w:r>
        <w:rPr>
          <w:vertAlign w:val="subscript"/>
        </w:rPr>
        <w:t xml:space="preserve">2</w:t>
      </w:r>
      <w:r>
        <w:t xml:space="preserve">) yield three moles of product (2NO + O</w:t>
      </w:r>
      <w:r>
        <w:rPr>
          <w:vertAlign w:val="subscript"/>
        </w:rPr>
        <w:t xml:space="preserve">2</w:t>
      </w:r>
      <w:r>
        <w:t xml:space="preserve">), and so decreasing the system volume causes the equilibrium to shift left since the reverse reaction produces less gas (2 mol) than the forward reaction (3 mol). Conversely, increasing the volume of this equilibrium system would result in a shift towards products.</w:t>
      </w:r>
    </w:p>
    <w:bookmarkStart w:id="42" w:name="fs-idp6099552"/>
    <w:p>
      <w:pPr>
        <w:pStyle w:val="Heading3Grey"/>
      </w:pPr>
      <w:r>
        <w:t xml:space="preserve">Link to Learning</w:t>
      </w:r>
    </w:p>
    <w:p>
      <w:pPr>
        <w:pStyle w:val="NoteExampleGrey"/>
      </w:pPr>
      <w:r>
        <w:t xml:space="preserve">Check out this</w:t>
      </w:r>
      <w:r>
        <w:t xml:space="preserve"> </w:t>
      </w:r>
      <w:hyperlink r:id="rId41">
        <w:r>
          <w:rPr>
            <w:rStyle w:val="InternetLink"/>
          </w:rPr>
          <w:t xml:space="preserve">link</w:t>
        </w:r>
      </w:hyperlink>
      <w:r>
        <w:t xml:space="preserve"> </w:t>
      </w:r>
      <w:r>
        <w:t xml:space="preserve">to see a dramatic visual demonstration of how equilibrium changes with pressure changes.</w:t>
      </w:r>
    </w:p>
    <w:bookmarkEnd w:id="42"/>
    <w:p>
      <w:pPr>
        <w:pStyle w:val="SmallWhiteGap"/>
      </w:pPr>
      <w:r>
        <w:t xml:space="preserve"> </w:t>
      </w:r>
    </w:p>
    <w:bookmarkStart w:id="51" w:name="fs-idp88873584"/>
    <w:p>
      <w:pPr>
        <w:pStyle w:val="Heading3Grey"/>
      </w:pPr>
      <w:r>
        <w:t xml:space="preserve">Chemistry in Everyday Life</w:t>
      </w:r>
    </w:p>
    <w:p>
      <w:pPr>
        <w:pStyle w:val="Heading4Grey"/>
      </w:pPr>
      <w:r>
        <w:t xml:space="preserve">Equilibrium and Soft Drinks</w:t>
      </w:r>
    </w:p>
    <w:p>
      <w:pPr>
        <w:pStyle w:val="NoteExampleGrey"/>
      </w:pPr>
      <w:r>
        <w:t xml:space="preserve">The connection between chemistry and carbonated soft drinks goes back to 1767, when Joseph Priestley (1733–1804) developed a method of infusing water with carbon dioxide to make carbonated water. Priestley’s approach involved production of carbon dioxide by reacting oil of vitriol (sulfuric acid) with chalk (calcium carbonate).</w:t>
      </w:r>
    </w:p>
    <w:p>
      <w:pPr>
        <w:pStyle w:val="NoteExampleGrey"/>
      </w:pPr>
      <w:r>
        <w:t xml:space="preserve">The carbon dioxide was then dissolved in water, reacting to produce hydrogen carbonate, a weak acid that subsequently ionized to yield bicarbonate and hydrogen ions:</w:t>
      </w:r>
    </w:p>
    <w:bookmarkStart w:id="46" w:name="fs-idm482350368"/>
    <w:p>
      <w:pPr>
        <w:pStyle w:val="NoteExampleGrey"/>
      </w:pPr>
      <w:r>
        <w:drawing>
          <wp:inline>
            <wp:extent cx="3000375" cy="571500"/>
            <wp:effectExtent b="0" l="0" r="0" t="0"/>
            <wp:docPr descr="None" title="" id="44" name="Picture"/>
            <a:graphic>
              <a:graphicData uri="http://schemas.openxmlformats.org/drawingml/2006/picture">
                <pic:pic>
                  <pic:nvPicPr>
                    <pic:cNvPr descr="../resources/d51400152791bf6029228abe7ee4a8ea888f8859" id="45" name="Picture"/>
                    <pic:cNvPicPr>
                      <a:picLocks noChangeArrowheads="1" noChangeAspect="1"/>
                    </pic:cNvPicPr>
                  </pic:nvPicPr>
                  <pic:blipFill>
                    <a:blip r:embed="rId43"/>
                    <a:stretch>
                      <a:fillRect/>
                    </a:stretch>
                  </pic:blipFill>
                  <pic:spPr bwMode="auto">
                    <a:xfrm>
                      <a:off x="0" y="0"/>
                      <a:ext cx="3000375" cy="571500"/>
                    </a:xfrm>
                    <a:prstGeom prst="rect">
                      <a:avLst/>
                    </a:prstGeom>
                    <a:noFill/>
                    <a:ln w="9525">
                      <a:noFill/>
                      <a:headEnd/>
                      <a:tailEnd/>
                    </a:ln>
                  </pic:spPr>
                </pic:pic>
              </a:graphicData>
            </a:graphic>
          </wp:inline>
        </w:drawing>
      </w:r>
    </w:p>
    <w:bookmarkEnd w:id="46"/>
    <w:p>
      <w:pPr>
        <w:pStyle w:val="NoteExampleGrey"/>
      </w:pPr>
      <w:r>
        <w:t xml:space="preserve">These same equilibrium reactions are the basis of today’s soft-drink carbonation process. Beverages are exposed to a high pressure of gaseous carbon dioxide during the process to shift the first equilibrium above to the right, resulting in desirably high concentrations of dissolved carbon dioxide and, per similar shifts in the other two equilibria, its hydrolysis and ionization products. A bottle or can is then nearly filled with the carbonated beverage, leaving a relatively small volume of air in the container above the beverage surface (the</w:t>
      </w:r>
      <w:r>
        <w:t xml:space="preserve"> </w:t>
      </w:r>
      <w:r>
        <w:rPr>
          <w:iCs/>
          <w:i/>
        </w:rPr>
        <w:t xml:space="preserve">headspace</w:t>
      </w:r>
      <w:r>
        <w:t xml:space="preserve">) before it is sealed. The pressure of carbon dioxide in the container headspace is very low immediately after sealing, but it rises as the dissolution equilibrium is re-established by shifting to the left. Since the volume of the beverage is significantly greater than the volume of the headspace, only a relatively small amount of dissolved carbon dioxide is lost to the headspace.</w:t>
      </w:r>
    </w:p>
    <w:p>
      <w:pPr>
        <w:pStyle w:val="NoteExampleGrey"/>
      </w:pPr>
      <w:r>
        <w:t xml:space="preserve">When a carbonated beverage container is opened, a hissing sound is heard as pressurized CO</w:t>
      </w:r>
      <w:r>
        <w:rPr>
          <w:vertAlign w:val="subscript"/>
        </w:rPr>
        <w:t xml:space="preserve">2</w:t>
      </w:r>
      <w:r>
        <w:t xml:space="preserve"> </w:t>
      </w:r>
      <w:r>
        <w:t xml:space="preserve">escapes from the headspace. This causes the dissolution equilibrium to shift left, resulting in a decrease in the concentration of dissolved CO</w:t>
      </w:r>
      <w:r>
        <w:rPr>
          <w:vertAlign w:val="subscript"/>
        </w:rPr>
        <w:t xml:space="preserve">2</w:t>
      </w:r>
      <w:r>
        <w:t xml:space="preserve"> </w:t>
      </w:r>
      <w:r>
        <w:t xml:space="preserve">and subsequent left-shifts of the hydrolysis and ionization equilibria. Fortunately for the consumer, the dissolution equilibrium is usually re-established slowly, and so the beverage may be enjoyed while its dissolved carbon dioxide concentration remains palatably high. Once the equilibria are re-established, the CO</w:t>
      </w:r>
      <w:r>
        <w:rPr>
          <w:vertAlign w:val="subscript"/>
        </w:rPr>
        <w:t xml:space="preserve">2</w:t>
      </w:r>
      <w:r>
        <w:t xml:space="preserve">(</w:t>
      </w:r>
      <w:r>
        <w:rPr>
          <w:iCs/>
          <w:i/>
        </w:rPr>
        <w:t xml:space="preserve">aq</w:t>
      </w:r>
      <w:r>
        <w:t xml:space="preserve">) concentration will be significantly lowered, and the beverage acquires a characteristic taste referred to as “flat.”</w:t>
      </w:r>
    </w:p>
    <w:tbl>
      <w:tblPr>
        <w:tblStyle w:val="FigureTable"/>
        <w:tblW w:type="auto" w:w="0"/>
        <w:tblLook w:firstRow="0" w:lastRow="0" w:firstColumn="0" w:lastColumn="0"/>
        <w:jc w:val="center"/>
      </w:tblPr>
      <w:tblGrid>
        <w:gridCol w:w="7920"/>
      </w:tblGrid>
      <w:tr>
        <w:tc>
          <w:tcPr/>
          <w:p>
            <w:pPr>
              <w:pStyle w:val="Compact"/>
              <w:jc w:val="center"/>
            </w:pPr>
            <w:bookmarkStart w:id="50" w:name="fs-idp24901184"/>
            <w:r>
              <w:t xml:space="preserve"> </w:t>
            </w:r>
            <w:r>
              <w:drawing>
                <wp:inline>
                  <wp:extent cx="4457700" cy="3063240"/>
                  <wp:effectExtent b="0" l="0" r="0" t="0"/>
                  <wp:docPr descr="A bottle of soda sitting on the ground is shown with a large amount of fizz-filled liquid spewing out of the top." title="" id="48" name="Picture"/>
                  <a:graphic>
                    <a:graphicData uri="http://schemas.openxmlformats.org/drawingml/2006/picture">
                      <pic:pic>
                        <pic:nvPicPr>
                          <pic:cNvPr descr="../resources/9788fde85e83960a0a909fe802bacef5386c9de7" id="49" name="Picture"/>
                          <pic:cNvPicPr>
                            <a:picLocks noChangeArrowheads="1" noChangeAspect="1"/>
                          </pic:cNvPicPr>
                        </pic:nvPicPr>
                        <pic:blipFill>
                          <a:blip r:embed="rId47"/>
                          <a:stretch>
                            <a:fillRect/>
                          </a:stretch>
                        </pic:blipFill>
                        <pic:spPr bwMode="auto">
                          <a:xfrm>
                            <a:off x="0" y="0"/>
                            <a:ext cx="4457700" cy="3063240"/>
                          </a:xfrm>
                          <a:prstGeom prst="rect">
                            <a:avLst/>
                          </a:prstGeom>
                          <a:noFill/>
                          <a:ln w="9525">
                            <a:noFill/>
                            <a:headEnd/>
                            <a:tailEnd/>
                          </a:ln>
                        </pic:spPr>
                      </pic:pic>
                    </a:graphicData>
                  </a:graphic>
                </wp:inline>
              </w:drawing>
            </w:r>
            <w:r>
              <w:t xml:space="preserve"> </w:t>
            </w:r>
            <w:bookmarkEnd w:id="50"/>
          </w:p>
        </w:tc>
      </w:tr>
    </w:tbl>
    <w:p>
      <w:pPr>
        <w:pStyle w:val="NoteExampleGrey"/>
      </w:pPr>
      <w:r>
        <w:t xml:space="preserve">Figure</w:t>
      </w:r>
      <w:r>
        <w:t xml:space="preserve"> </w:t>
      </w:r>
      <w:r>
        <w:t xml:space="preserve"> </w:t>
      </w:r>
      <w:r>
        <w:t xml:space="preserve">13.7</w:t>
      </w:r>
      <w:r>
        <w:t xml:space="preserve"> </w:t>
      </w:r>
      <w:r>
        <w:t xml:space="preserve"> </w:t>
      </w:r>
      <w:r>
        <w:t xml:space="preserve"> </w:t>
      </w:r>
      <w:r>
        <w:t xml:space="preserve">Opening a soft-drink bottle lowers the CO</w:t>
      </w:r>
      <w:r>
        <w:rPr>
          <w:vertAlign w:val="subscript"/>
        </w:rPr>
        <w:t xml:space="preserve">2</w:t>
      </w:r>
      <w:r>
        <w:t xml:space="preserve"> </w:t>
      </w:r>
      <w:r>
        <w:t xml:space="preserve">pressure above the beverage, shifting the dissolution equilibrium and releasing dissolved CO</w:t>
      </w:r>
      <w:r>
        <w:rPr>
          <w:vertAlign w:val="subscript"/>
        </w:rPr>
        <w:t xml:space="preserve">2</w:t>
      </w:r>
      <w:r>
        <w:t xml:space="preserve"> </w:t>
      </w:r>
      <w:r>
        <w:t xml:space="preserve">from the beverage. (credit: modification of work by “D Coetzee”/Flickr)</w:t>
      </w:r>
    </w:p>
    <w:bookmarkEnd w:id="51"/>
    <w:bookmarkEnd w:id="52"/>
    <w:bookmarkEnd w:id="53"/>
    <w:bookmarkStart w:id="67" w:name="fs-idp43174880"/>
    <w:bookmarkStart w:id="66" w:name="effect-of-a-change-in-temperature"/>
    <w:p>
      <w:pPr>
        <w:pStyle w:val="Heading3"/>
      </w:pPr>
      <w:r>
        <w:t xml:space="preserve">Effect of a Change in Temperature</w:t>
      </w:r>
    </w:p>
    <w:p>
      <w:pPr>
        <w:pStyle w:val="FirstParagraph"/>
      </w:pPr>
      <w:r>
        <w:t xml:space="preserve">Consistent with the law of mass action, an equilibrium stressed by a change in concentration will shift to re-establish equilibrium without any change in the value of the equilibrium constant,</w:t>
      </w:r>
      <w:r>
        <w:t xml:space="preserve"> </w:t>
      </w:r>
      <w:r>
        <w:rPr>
          <w:iCs/>
          <w:i/>
        </w:rPr>
        <w:t xml:space="preserve">K</w:t>
      </w:r>
      <w:r>
        <w:t xml:space="preserve">. When an equilibrium shifts in response to a temperature change, however, it is re-established with a different relative composition that exhibits a different value for the equilibrium constant.</w:t>
      </w:r>
    </w:p>
    <w:p>
      <w:pPr>
        <w:pStyle w:val="TextBody"/>
      </w:pPr>
      <w:r>
        <w:t xml:space="preserve">To understand this phenomenon, consider the elementary reaction</w:t>
      </w:r>
    </w:p>
    <w:bookmarkStart w:id="54" w:name="fs-idp83787056"/>
    <w:p>
      <w:pPr>
        <w:pStyle w:val="TextBody"/>
      </w:pPr>
      <m:oMath>
        <m:r>
          <m:rPr>
            <m:nor/>
            <m:sty m:val="p"/>
          </m:rPr>
          <m:t>A</m:t>
        </m:r>
        <m:r>
          <m:rPr>
            <m:sty m:val="p"/>
          </m:rPr>
          <m:t>⇌</m:t>
        </m:r>
        <m:r>
          <m:rPr>
            <m:nor/>
            <m:sty m:val="p"/>
          </m:rPr>
          <m:t>B</m:t>
        </m:r>
      </m:oMath>
    </w:p>
    <w:bookmarkEnd w:id="54"/>
    <w:p>
      <w:pPr>
        <w:pStyle w:val="TextBody"/>
      </w:pPr>
      <w:r>
        <w:t xml:space="preserve">Since this is an elementary reaction, the rates laws for the forward and reverse may be derived directly from the balanced equation’s stoichiometry:</w:t>
      </w:r>
    </w:p>
    <w:bookmarkStart w:id="58" w:name="fs-idp95014512"/>
    <w:p>
      <w:pPr>
        <w:pStyle w:val="TextBody"/>
      </w:pPr>
      <w:r>
        <w:drawing>
          <wp:inline>
            <wp:extent cx="857250" cy="371475"/>
            <wp:effectExtent b="0" l="0" r="0" t="0"/>
            <wp:docPr descr="None" title="" id="56" name="Picture"/>
            <a:graphic>
              <a:graphicData uri="http://schemas.openxmlformats.org/drawingml/2006/picture">
                <pic:pic>
                  <pic:nvPicPr>
                    <pic:cNvPr descr="../resources/725945d3332ac5374341bbb81c26b5123ef5de0c" id="57" name="Picture"/>
                    <pic:cNvPicPr>
                      <a:picLocks noChangeArrowheads="1" noChangeAspect="1"/>
                    </pic:cNvPicPr>
                  </pic:nvPicPr>
                  <pic:blipFill>
                    <a:blip r:embed="rId55"/>
                    <a:stretch>
                      <a:fillRect/>
                    </a:stretch>
                  </pic:blipFill>
                  <pic:spPr bwMode="auto">
                    <a:xfrm>
                      <a:off x="0" y="0"/>
                      <a:ext cx="857250" cy="371475"/>
                    </a:xfrm>
                    <a:prstGeom prst="rect">
                      <a:avLst/>
                    </a:prstGeom>
                    <a:noFill/>
                    <a:ln w="9525">
                      <a:noFill/>
                      <a:headEnd/>
                      <a:tailEnd/>
                    </a:ln>
                  </pic:spPr>
                </pic:pic>
              </a:graphicData>
            </a:graphic>
          </wp:inline>
        </w:drawing>
      </w:r>
    </w:p>
    <w:bookmarkEnd w:id="58"/>
    <w:p>
      <w:pPr>
        <w:pStyle w:val="TextBody"/>
      </w:pPr>
      <w:r>
        <w:t xml:space="preserve">When the system is at equilibrium,</w:t>
      </w:r>
    </w:p>
    <w:bookmarkStart w:id="59" w:name="fs-idm214342512"/>
    <w:p>
      <w:pPr>
        <w:pStyle w:val="TextBody"/>
      </w:pPr>
      <m:oMath>
        <m:sSub>
          <m:e>
            <m:r>
              <m:rPr>
                <m:nor/>
                <m:sty m:val="p"/>
              </m:rPr>
              <m:t>rate</m:t>
            </m:r>
          </m:e>
          <m:sub>
            <m:r>
              <m:t>r</m:t>
            </m:r>
          </m:sub>
        </m:sSub>
        <m:r>
          <m:rPr>
            <m:sty m:val="p"/>
          </m:rPr>
          <m:t>=</m:t>
        </m:r>
        <m:sSub>
          <m:e>
            <m:r>
              <m:rPr>
                <m:nor/>
                <m:sty m:val="p"/>
              </m:rPr>
              <m:t>rate</m:t>
            </m:r>
          </m:e>
          <m:sub>
            <m:r>
              <m:t>f</m:t>
            </m:r>
          </m:sub>
        </m:sSub>
      </m:oMath>
    </w:p>
    <w:bookmarkEnd w:id="59"/>
    <w:p>
      <w:pPr>
        <w:pStyle w:val="TextBody"/>
      </w:pPr>
      <w:r>
        <w:t xml:space="preserve">Substituting the rate laws into this equality and rearranging gives</w:t>
      </w:r>
    </w:p>
    <w:bookmarkStart w:id="63" w:name="fs-idm208526832"/>
    <w:p>
      <w:pPr>
        <w:pStyle w:val="TextBody"/>
      </w:pPr>
      <w:r>
        <w:drawing>
          <wp:inline>
            <wp:extent cx="942975" cy="457200"/>
            <wp:effectExtent b="0" l="0" r="0" t="0"/>
            <wp:docPr descr="None" title="" id="61" name="Picture"/>
            <a:graphic>
              <a:graphicData uri="http://schemas.openxmlformats.org/drawingml/2006/picture">
                <pic:pic>
                  <pic:nvPicPr>
                    <pic:cNvPr descr="../resources/d29a7f7ae28e3df9a3e7ca8b9832c34ea164817e" id="62" name="Picture"/>
                    <pic:cNvPicPr>
                      <a:picLocks noChangeArrowheads="1" noChangeAspect="1"/>
                    </pic:cNvPicPr>
                  </pic:nvPicPr>
                  <pic:blipFill>
                    <a:blip r:embed="rId60"/>
                    <a:stretch>
                      <a:fillRect/>
                    </a:stretch>
                  </pic:blipFill>
                  <pic:spPr bwMode="auto">
                    <a:xfrm>
                      <a:off x="0" y="0"/>
                      <a:ext cx="942975" cy="457200"/>
                    </a:xfrm>
                    <a:prstGeom prst="rect">
                      <a:avLst/>
                    </a:prstGeom>
                    <a:noFill/>
                    <a:ln w="9525">
                      <a:noFill/>
                      <a:headEnd/>
                      <a:tailEnd/>
                    </a:ln>
                  </pic:spPr>
                </pic:pic>
              </a:graphicData>
            </a:graphic>
          </wp:inline>
        </w:drawing>
      </w:r>
    </w:p>
    <w:bookmarkEnd w:id="63"/>
    <w:p>
      <w:pPr>
        <w:pStyle w:val="TextBody"/>
      </w:pPr>
      <w:r>
        <w:t xml:space="preserve">The equilibrium constant is seen to be a mathematical function of the rate constants for the forward and reverse reactions. Since the rate constants vary with temperature as described by the Arrhenius equation, is stands to reason that the equilibrium constant will likewise vary with temperature (assuming the rate constants are affected to different extents by the temperature change). For more complex reactions involving multistep reaction mechanisms, a similar but more complex mathematical relation exists between the equilibrium constant and the rate constants of the steps in the mechanism. Regardless of how complex the reaction may be, the temperature-dependence of its equilibrium constant persists.</w:t>
      </w:r>
    </w:p>
    <w:p>
      <w:pPr>
        <w:pStyle w:val="TextBody"/>
      </w:pPr>
      <w:r>
        <w:t xml:space="preserve">Predicting the shift an equilibrium will experience in response to a change in temperature is most conveniently accomplished by considering the enthalpy change of the reaction. For example, the decomposition of dinitrogen tetroxide is an endothermic (heat-consuming) process:</w:t>
      </w:r>
    </w:p>
    <w:bookmarkStart w:id="64" w:name="fs-idp8775968"/>
    <w:p>
      <w:pPr>
        <w:pStyle w:val="TextBody"/>
      </w:pPr>
      <m:oMath>
        <m:sSub>
          <m:e>
            <m:r>
              <m:rPr>
                <m:nor/>
                <m:sty m:val="p"/>
              </m:rPr>
              <m:t>N</m:t>
            </m:r>
          </m:e>
          <m:sub>
            <m:r>
              <m:t>2</m:t>
            </m:r>
          </m:sub>
        </m:sSub>
        <m:sSub>
          <m:e>
            <m:r>
              <m:rPr>
                <m:nor/>
                <m:sty m:val="p"/>
              </m:rPr>
              <m:t>O</m:t>
            </m:r>
          </m:e>
          <m:sub>
            <m:r>
              <m:t>4</m:t>
            </m:r>
          </m:sub>
        </m:sSub>
        <m:d>
          <m:dPr>
            <m:begChr m:val="("/>
            <m:endChr m:val=")"/>
            <m:sepChr m:val=""/>
            <m:grow/>
          </m:dPr>
          <m:e>
            <m:r>
              <m:t>g</m:t>
            </m:r>
          </m:e>
        </m:d>
        <m:r>
          <m:rPr>
            <m:sty m:val="p"/>
          </m:rPr>
          <m:t>⇌</m:t>
        </m:r>
        <m:r>
          <m:t>2</m:t>
        </m:r>
        <m:sSub>
          <m:e>
            <m:r>
              <m:rPr>
                <m:nor/>
                <m:sty m:val="p"/>
              </m:rPr>
              <m:t>NO</m:t>
            </m:r>
          </m:e>
          <m:sub>
            <m:r>
              <m:t>2</m:t>
            </m:r>
          </m:sub>
        </m:sSub>
        <m:d>
          <m:dPr>
            <m:begChr m:val="("/>
            <m:endChr m:val=")"/>
            <m:sepChr m:val=""/>
            <m:grow/>
          </m:dPr>
          <m:e>
            <m:r>
              <m:t>g</m:t>
            </m:r>
          </m:e>
        </m:d>
        <m:r>
          <m:t>  </m:t>
        </m:r>
        <m:r>
          <m:rPr>
            <m:nor/>
            <m:sty m:val="p"/>
          </m:rPr>
          <m:t>Δ</m:t>
        </m:r>
        <m:r>
          <m:t>H</m:t>
        </m:r>
        <m:r>
          <m:rPr>
            <m:sty m:val="p"/>
          </m:rPr>
          <m:t>=</m:t>
        </m:r>
        <m:r>
          <m:rPr>
            <m:sty m:val="p"/>
          </m:rPr>
          <m:t>+</m:t>
        </m:r>
        <m:r>
          <m:t>57.20</m:t>
        </m:r>
        <m:r>
          <m:t> </m:t>
        </m:r>
        <m:r>
          <m:rPr>
            <m:nor/>
            <m:sty m:val="p"/>
          </m:rPr>
          <m:t>kJ</m:t>
        </m:r>
      </m:oMath>
    </w:p>
    <w:bookmarkEnd w:id="64"/>
    <w:p>
      <w:pPr>
        <w:pStyle w:val="TextBody"/>
      </w:pPr>
      <w:r>
        <w:t xml:space="preserve">For purposes of applying Le Chatelier’s principle, heat (</w:t>
      </w:r>
      <w:r>
        <w:rPr>
          <w:iCs/>
          <w:i/>
        </w:rPr>
        <w:t xml:space="preserve">q</w:t>
      </w:r>
      <w:r>
        <w:t xml:space="preserve">) may be viewed as a reactant:</w:t>
      </w:r>
    </w:p>
    <w:bookmarkStart w:id="65" w:name="fs-idp38589680"/>
    <w:p>
      <w:pPr>
        <w:pStyle w:val="TextBody"/>
      </w:pPr>
      <m:oMath>
        <m:r>
          <m:rPr>
            <m:nor/>
            <m:sty m:val="p"/>
          </m:rPr>
          <m:t>heat</m:t>
        </m:r>
        <m:r>
          <m:rPr>
            <m:sty m:val="p"/>
          </m:rPr>
          <m:t>+</m:t>
        </m:r>
        <m:sSub>
          <m:e>
            <m:r>
              <m:rPr>
                <m:nor/>
                <m:sty m:val="p"/>
              </m:rPr>
              <m:t>N</m:t>
            </m:r>
          </m:e>
          <m:sub>
            <m:r>
              <m:t>2</m:t>
            </m:r>
          </m:sub>
        </m:sSub>
        <m:sSub>
          <m:e>
            <m:r>
              <m:rPr>
                <m:nor/>
                <m:sty m:val="p"/>
              </m:rPr>
              <m:t>O</m:t>
            </m:r>
          </m:e>
          <m:sub>
            <m:r>
              <m:t>4</m:t>
            </m:r>
          </m:sub>
        </m:sSub>
        <m:d>
          <m:dPr>
            <m:begChr m:val="("/>
            <m:endChr m:val=")"/>
            <m:sepChr m:val=""/>
            <m:grow/>
          </m:dPr>
          <m:e>
            <m:r>
              <m:t>g</m:t>
            </m:r>
          </m:e>
        </m:d>
        <m:r>
          <m:rPr>
            <m:sty m:val="p"/>
          </m:rPr>
          <m:t>⇌</m:t>
        </m:r>
        <m:r>
          <m:t>2</m:t>
        </m:r>
        <m:sSub>
          <m:e>
            <m:r>
              <m:rPr>
                <m:nor/>
                <m:sty m:val="p"/>
              </m:rPr>
              <m:t>NO</m:t>
            </m:r>
          </m:e>
          <m:sub>
            <m:r>
              <m:t>2</m:t>
            </m:r>
          </m:sub>
        </m:sSub>
        <m:d>
          <m:dPr>
            <m:begChr m:val="("/>
            <m:endChr m:val=")"/>
            <m:sepChr m:val=""/>
            <m:grow/>
          </m:dPr>
          <m:e>
            <m:r>
              <m:t>g</m:t>
            </m:r>
          </m:e>
        </m:d>
      </m:oMath>
    </w:p>
    <w:bookmarkEnd w:id="65"/>
    <w:p>
      <w:pPr>
        <w:pStyle w:val="TextBody"/>
      </w:pPr>
      <w:r>
        <w:t xml:space="preserve">Raising the temperature of the system is akin to increasing the amount of a reactant, and so the equilibrium will shift to the right. Lowering the system temperature will likewise cause the equilibrium to shift left. For exothermic processes, heat is viewed as a product of the reaction and so the opposite temperature dependence is observed.</w:t>
      </w:r>
    </w:p>
    <w:bookmarkEnd w:id="66"/>
    <w:bookmarkEnd w:id="67"/>
    <w:bookmarkStart w:id="78" w:name="fs-idp274375376"/>
    <w:bookmarkStart w:id="77" w:name="effect-of-a-catalyst"/>
    <w:p>
      <w:pPr>
        <w:pStyle w:val="Heading3"/>
      </w:pPr>
      <w:r>
        <w:t xml:space="preserve">Effect of a Catalyst</w:t>
      </w:r>
    </w:p>
    <w:p>
      <w:pPr>
        <w:pStyle w:val="FirstParagraph"/>
      </w:pPr>
      <w:r>
        <w:t xml:space="preserve">The kinetics chapter of this text identifies a</w:t>
      </w:r>
      <w:r>
        <w:t xml:space="preserve"> </w:t>
      </w:r>
      <w:r>
        <w:rPr>
          <w:iCs/>
          <w:i/>
        </w:rPr>
        <w:t xml:space="preserve">catalyst</w:t>
      </w:r>
      <w:r>
        <w:t xml:space="preserve"> </w:t>
      </w:r>
      <w:r>
        <w:t xml:space="preserve">as a substance that enables a reaction to proceed via a different mechanism with an accelerated rate. The catalyzed reaction mechanism involves a lower energy transition state than the uncatalyzed reaction, resulting in a lower activation energy,</w:t>
      </w:r>
      <w:r>
        <w:t xml:space="preserve"> </w:t>
      </w:r>
      <w:r>
        <w:rPr>
          <w:iCs/>
          <w:i/>
        </w:rPr>
        <w:t xml:space="preserve">E</w:t>
      </w:r>
      <w:r>
        <w:rPr>
          <w:vertAlign w:val="subscript"/>
          <w:iCs/>
          <w:i/>
        </w:rPr>
        <w:t xml:space="preserve">a</w:t>
      </w:r>
      <w:r>
        <w:t xml:space="preserve">, and a correspondingly greater rate constant.</w:t>
      </w:r>
    </w:p>
    <w:p>
      <w:pPr>
        <w:pStyle w:val="TextBody"/>
      </w:pPr>
      <w:r>
        <w:t xml:space="preserve">To discern the effect of catalysis on an equilibrium system, consider the reaction diagram for a simple one-step (elementary) reaction shown in</w:t>
      </w:r>
      <w:r>
        <w:t xml:space="preserve"> </w:t>
      </w:r>
      <w:hyperlink w:anchor="CNX_Chem_13_03_catalyst">
        <w:r>
          <w:rPr>
            <w:rStyle w:val="InternetLink"/>
          </w:rPr>
          <w:t xml:space="preserve">Figure 13.8</w:t>
        </w:r>
      </w:hyperlink>
      <w:r>
        <w:t xml:space="preserve">. The lowered transition state energy of the catalyzed reaction results in lowered activation energies for both the forward and the reverse reactions. Consequently, both forward and reverse reactions are accelerated, and equilibrium is achieved more quickly</w:t>
      </w:r>
      <w:r>
        <w:t xml:space="preserve"> </w:t>
      </w:r>
      <w:r>
        <w:rPr>
          <w:iCs/>
          <w:i/>
        </w:rPr>
        <w:t xml:space="preserve">but without a change in the equilibrium constant</w:t>
      </w:r>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71" w:name="fs-idp272099696"/>
            <w:r>
              <w:t xml:space="preserve"> </w:t>
            </w:r>
            <w:r>
              <w:drawing>
                <wp:inline>
                  <wp:extent cx="2971800" cy="2825496"/>
                  <wp:effectExtent b="0" l="0" r="0" t="0"/>
                  <wp:docPr descr="A graph is shown labeled “Transition state.” The y-axis on the graph is labeled “Energy” and the x-axis is labeled “Extent of Reaction.” Two curves are plotted on the graph. Both start mid-way up the y-axis. The red curve has a steep initial slope as it increases, then reaches its peak where it meets a horizontal dotted line, then has a steep decline before leveling out. From the initial point to the horizontal line, there is a vertical line with arrows on each end labeled “E subscript a forward.” From the end point to the horizontal line, there is a vertical line with arrows on each end labeled “E subscript a reverse.” The second curve is less steep than the first and does not reach as high of a peak on the y-axis. It meets a separate horizontal dotted line at its peak, then declines at a similar rate to the first curve before leveling out with the first curve. From the initial point where the slope begins to increase to the horizontal line, there is a vertical line with arrows on each end labeled “E subscript a forward.” From the end point right as it levels out to the horizontal line, there is a vertical line with arrows on each end labeled “E subscript a reverse.”" title="" id="69" name="Picture"/>
                  <a:graphic>
                    <a:graphicData uri="http://schemas.openxmlformats.org/drawingml/2006/picture">
                      <pic:pic>
                        <pic:nvPicPr>
                          <pic:cNvPr descr="../resources/ad64a45ab4cfe2badd8d653dd9ca2871d5740245" id="70" name="Picture"/>
                          <pic:cNvPicPr>
                            <a:picLocks noChangeArrowheads="1" noChangeAspect="1"/>
                          </pic:cNvPicPr>
                        </pic:nvPicPr>
                        <pic:blipFill>
                          <a:blip r:embed="rId68"/>
                          <a:stretch>
                            <a:fillRect/>
                          </a:stretch>
                        </pic:blipFill>
                        <pic:spPr bwMode="auto">
                          <a:xfrm>
                            <a:off x="0" y="0"/>
                            <a:ext cx="2971800" cy="2825496"/>
                          </a:xfrm>
                          <a:prstGeom prst="rect">
                            <a:avLst/>
                          </a:prstGeom>
                          <a:noFill/>
                          <a:ln w="9525">
                            <a:noFill/>
                            <a:headEnd/>
                            <a:tailEnd/>
                          </a:ln>
                        </pic:spPr>
                      </pic:pic>
                    </a:graphicData>
                  </a:graphic>
                </wp:inline>
              </w:drawing>
            </w:r>
            <w:r>
              <w:t xml:space="preserve"> </w:t>
            </w:r>
            <w:bookmarkEnd w:id="71"/>
          </w:p>
        </w:tc>
      </w:tr>
    </w:tbl>
    <w:p>
      <w:pPr>
        <w:pStyle w:val="TextBody"/>
      </w:pPr>
      <w:r>
        <w:t xml:space="preserve">Figure</w:t>
      </w:r>
      <w:r>
        <w:t xml:space="preserve"> </w:t>
      </w:r>
      <w:r>
        <w:t xml:space="preserve"> </w:t>
      </w:r>
      <w:r>
        <w:t xml:space="preserve">13.8</w:t>
      </w:r>
      <w:r>
        <w:t xml:space="preserve"> </w:t>
      </w:r>
      <w:r>
        <w:t xml:space="preserve"> </w:t>
      </w:r>
      <w:r>
        <w:t xml:space="preserve"> </w:t>
      </w:r>
      <w:r>
        <w:t xml:space="preserve">Reaction diagrams for an elementary process in the absence (red) and presence (blue) of a catalyst. The presence of catalyst lowers the activation energies of both the forward and reverse reactions but does not affect the value of the equilibrium constant.</w:t>
      </w:r>
    </w:p>
    <w:p>
      <w:pPr>
        <w:pStyle w:val="TextBody"/>
      </w:pPr>
      <w:r>
        <w:t xml:space="preserve">An interesting case study highlighting these equilibrium concepts is the industrial production of ammonia, NH</w:t>
      </w:r>
      <w:r>
        <w:rPr>
          <w:vertAlign w:val="subscript"/>
        </w:rPr>
        <w:t xml:space="preserve">3</w:t>
      </w:r>
      <w:r>
        <w:t xml:space="preserve">. This substance is among the “top 10” industrial chemicals with regard to production, with roughly two billion pounds produced annually in the US. Ammonia is used as a chemical feedstock to synthesize a wide range of commercially useful compounds, including fertilizers, plastics, dyes, and explosives.</w:t>
      </w:r>
    </w:p>
    <w:p>
      <w:pPr>
        <w:pStyle w:val="TextBody"/>
      </w:pPr>
      <w:r>
        <w:t xml:space="preserve">Most industrial production of ammonia uses the</w:t>
      </w:r>
      <w:r>
        <w:t xml:space="preserve"> </w:t>
      </w:r>
      <w:r>
        <w:rPr>
          <w:iCs/>
          <w:i/>
        </w:rPr>
        <w:t xml:space="preserve">Haber-Bosch process</w:t>
      </w:r>
      <w:r>
        <w:t xml:space="preserve"> </w:t>
      </w:r>
      <w:r>
        <w:t xml:space="preserve">based on the following equilibrium reaction:</w:t>
      </w:r>
    </w:p>
    <w:bookmarkStart w:id="72" w:name="fs-idm143149600"/>
    <w:p>
      <w:pPr>
        <w:pStyle w:val="TextBody"/>
      </w:pPr>
      <m:oMath>
        <m:sSub>
          <m:e>
            <m:r>
              <m:rPr>
                <m:nor/>
                <m:sty m:val="p"/>
              </m:rPr>
              <m:t>N</m:t>
            </m:r>
          </m:e>
          <m:sub>
            <m:r>
              <m:t>2</m:t>
            </m:r>
          </m:sub>
        </m:sSub>
        <m:d>
          <m:dPr>
            <m:begChr m:val="("/>
            <m:endChr m:val=")"/>
            <m:sepChr m:val=""/>
            <m:grow/>
          </m:dPr>
          <m:e>
            <m:r>
              <m:t>g</m:t>
            </m:r>
          </m:e>
        </m:d>
        <m:r>
          <m:rPr>
            <m:sty m:val="p"/>
          </m:rPr>
          <m:t>+</m:t>
        </m:r>
        <m:r>
          <m:t>3</m:t>
        </m:r>
        <m:sSub>
          <m:e>
            <m:r>
              <m:rPr>
                <m:nor/>
                <m:sty m:val="p"/>
              </m:rPr>
              <m:t>H</m:t>
            </m:r>
          </m:e>
          <m:sub>
            <m:r>
              <m:t>2</m:t>
            </m:r>
          </m:sub>
        </m:sSub>
        <m:d>
          <m:dPr>
            <m:begChr m:val="("/>
            <m:endChr m:val=")"/>
            <m:sepChr m:val=""/>
            <m:grow/>
          </m:dPr>
          <m:e>
            <m:r>
              <m:t>g</m:t>
            </m:r>
          </m:e>
        </m:d>
        <m:r>
          <m:t> </m:t>
        </m:r>
        <m:r>
          <m:rPr>
            <m:sty m:val="p"/>
          </m:rPr>
          <m:t>⇌</m:t>
        </m:r>
        <m:r>
          <m:t> </m:t>
        </m:r>
        <m:r>
          <m:t>2</m:t>
        </m:r>
        <m:sSub>
          <m:e>
            <m:r>
              <m:rPr>
                <m:nor/>
                <m:sty m:val="p"/>
              </m:rPr>
              <m:t>NH</m:t>
            </m:r>
          </m:e>
          <m:sub>
            <m:r>
              <m:t>3</m:t>
            </m:r>
          </m:sub>
        </m:sSub>
        <m:d>
          <m:dPr>
            <m:begChr m:val="("/>
            <m:endChr m:val=")"/>
            <m:sepChr m:val=""/>
            <m:grow/>
          </m:dPr>
          <m:e>
            <m:r>
              <m:t>g</m:t>
            </m:r>
          </m:e>
        </m:d>
        <m:r>
          <m:t>  </m:t>
        </m:r>
        <m:r>
          <m:rPr>
            <m:nor/>
            <m:sty m:val="p"/>
          </m:rPr>
          <m:t>Δ</m:t>
        </m:r>
        <m:r>
          <m:t>H</m:t>
        </m:r>
        <m:r>
          <m:rPr>
            <m:sty m:val="p"/>
          </m:rPr>
          <m:t>=</m:t>
        </m:r>
        <m:r>
          <m:rPr>
            <m:sty m:val="p"/>
          </m:rPr>
          <m:t>−</m:t>
        </m:r>
        <m:r>
          <m:t>92.2</m:t>
        </m:r>
        <m:r>
          <m:t> </m:t>
        </m:r>
        <m:r>
          <m:rPr>
            <m:nor/>
            <m:sty m:val="p"/>
          </m:rPr>
          <m:t>kJ</m:t>
        </m:r>
      </m:oMath>
    </w:p>
    <w:bookmarkEnd w:id="72"/>
    <w:p>
      <w:pPr>
        <w:pStyle w:val="TextBody"/>
      </w:pPr>
      <w:r>
        <w:t xml:space="preserve">The traits of this reaction present challenges to its use in an efficient industrial process. The equilibrium constant is relatively small (</w:t>
      </w:r>
      <w:r>
        <w:rPr>
          <w:iCs/>
          <w:i/>
        </w:rPr>
        <w:t xml:space="preserve">K</w:t>
      </w:r>
      <w:r>
        <w:rPr>
          <w:vertAlign w:val="subscript"/>
          <w:iCs/>
          <w:i/>
        </w:rPr>
        <w:t xml:space="preserve">p</w:t>
      </w:r>
      <w:r>
        <w:t xml:space="preserve"> </w:t>
      </w:r>
      <w:r>
        <w:t xml:space="preserve">on the order of 10</w:t>
      </w:r>
      <w:r>
        <w:rPr>
          <w:vertAlign w:val="superscript"/>
        </w:rPr>
        <w:t xml:space="preserve">−5</w:t>
      </w:r>
      <w:r>
        <w:t xml:space="preserve"> </w:t>
      </w:r>
      <w:r>
        <w:t xml:space="preserve">at 25 °C), meaning very little ammonia is present in an equilibrium mixture. Also, the rate of this reaction is relatively slow at low temperatures. To raise the yield of ammonia, the industrial process is designed to operate under conditions favoring product formation:</w:t>
      </w:r>
    </w:p>
    <w:p>
      <w:pPr>
        <w:numPr>
          <w:ilvl w:val="0"/>
          <w:numId w:val="1002"/>
        </w:numPr>
        <w:pStyle w:val="Compact"/>
      </w:pPr>
      <w:r>
        <w:t xml:space="preserve">High pressures (concentrations) of reactants are used, ~150−250 atm, to shift the equilibrium right, favoring product formation.</w:t>
      </w:r>
    </w:p>
    <w:p>
      <w:pPr>
        <w:numPr>
          <w:ilvl w:val="0"/>
          <w:numId w:val="1002"/>
        </w:numPr>
        <w:pStyle w:val="Compact"/>
      </w:pPr>
      <w:r>
        <w:t xml:space="preserve">Ammonia is continually removed (collected) from the equilibrium mixture during the process, lowering its concentration and also shifting the equilibrium right.</w:t>
      </w:r>
    </w:p>
    <w:p>
      <w:pPr>
        <w:numPr>
          <w:ilvl w:val="0"/>
          <w:numId w:val="1002"/>
        </w:numPr>
        <w:pStyle w:val="Compact"/>
      </w:pPr>
      <w:r>
        <w:t xml:space="preserve">Although low temperatures favor product formation for this exothermic process, the reaction rate at low temperatures is inefficiently slow. A catalyst is used to accelerate the reaction to reasonable rates at relatively moderate temperatures (400−500 °C).</w:t>
      </w:r>
    </w:p>
    <w:p>
      <w:pPr>
        <w:pStyle w:val="FirstParagraph"/>
      </w:pPr>
      <w:r>
        <w:t xml:space="preserve">A diagram illustrating a typical industrial setup for production of ammonia via the Haber-Bosch process is shown in</w:t>
      </w:r>
      <w:r>
        <w:t xml:space="preserve"> </w:t>
      </w:r>
      <w:hyperlink w:anchor="CNX_Chem_13_03_factory">
        <w:r>
          <w:rPr>
            <w:rStyle w:val="InternetLink"/>
          </w:rPr>
          <w:t xml:space="preserve">Figure 13.9</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76" w:name="fs-idp114972544"/>
            <w:r>
              <w:t xml:space="preserve"> </w:t>
            </w:r>
            <w:r>
              <w:drawing>
                <wp:inline>
                  <wp:extent cx="5943600" cy="3854196"/>
                  <wp:effectExtent b="0" l="0" r="0" t="0"/>
                  <wp:docPr descr="A diagram is shown that is composed of three main sections. The first section shows an intake pipe labeled with blue arrows and the terms, “N subscript 2, H subscript 2, feed gases,” and “Compressor.” This pipe leads to a large chamber with a turbine in the top section and a coil in the bottom section. From top to bottom, the sections of this chamber are labeled, “Heat exchanger,” “Catalyst chamber 400 to 500 degrees C,” “Catalyst,” “Heater,” and “Preheated feed gases.” One pipe leads from the top of this chamber with red arrows and is labeled, “N H subscript 3 and unreacted N subscript 2, H subscript 2,” while another pipe leads to the bottom of the chamber and reads, “Compressor,” and has orange arrows going through it. These two pipes are connected to a square container that is labeled, “Heat exchanger,” and has red arrows going into it from the upper pipe, orange arrows going away from it to the lower pipe and into a third system. The pipes leading into and out of the heat exchanger are labeled, “Recycled N subscript 2, H subscript 2.” The third system shows a container with an interior zig-zag-shaped pipe that sits on a base that contains a curled pipe on a storage tank. From the top of the image to the bottom are the terms, “N H subscript 3 and unreacted N subscript 2, H subscript 2,” “Condenser,” “Cold water in,” “Refrigeration,” “N H subscript 3 ( l ),” and “Storage” Blue arrows lead away from the base of this system and into the second system while other blue arrows lead into the system from the right side of the diagram and back out of the same chamber." title="" id="74" name="Picture"/>
                  <a:graphic>
                    <a:graphicData uri="http://schemas.openxmlformats.org/drawingml/2006/picture">
                      <pic:pic>
                        <pic:nvPicPr>
                          <pic:cNvPr descr="../resources/0402516bd1c563bf706ff9a267c6f19a642c591d" id="75" name="Picture"/>
                          <pic:cNvPicPr>
                            <a:picLocks noChangeArrowheads="1" noChangeAspect="1"/>
                          </pic:cNvPicPr>
                        </pic:nvPicPr>
                        <pic:blipFill>
                          <a:blip r:embed="rId73"/>
                          <a:stretch>
                            <a:fillRect/>
                          </a:stretch>
                        </pic:blipFill>
                        <pic:spPr bwMode="auto">
                          <a:xfrm>
                            <a:off x="0" y="0"/>
                            <a:ext cx="5943600" cy="3854196"/>
                          </a:xfrm>
                          <a:prstGeom prst="rect">
                            <a:avLst/>
                          </a:prstGeom>
                          <a:noFill/>
                          <a:ln w="9525">
                            <a:noFill/>
                            <a:headEnd/>
                            <a:tailEnd/>
                          </a:ln>
                        </pic:spPr>
                      </pic:pic>
                    </a:graphicData>
                  </a:graphic>
                </wp:inline>
              </w:drawing>
            </w:r>
            <w:r>
              <w:t xml:space="preserve"> </w:t>
            </w:r>
            <w:bookmarkEnd w:id="76"/>
          </w:p>
        </w:tc>
      </w:tr>
    </w:tbl>
    <w:p>
      <w:pPr>
        <w:pStyle w:val="TextBody"/>
      </w:pPr>
      <w:r>
        <w:t xml:space="preserve">Figure</w:t>
      </w:r>
      <w:r>
        <w:t xml:space="preserve"> </w:t>
      </w:r>
      <w:r>
        <w:t xml:space="preserve"> </w:t>
      </w:r>
      <w:r>
        <w:t xml:space="preserve">13.9</w:t>
      </w:r>
      <w:r>
        <w:t xml:space="preserve"> </w:t>
      </w:r>
      <w:r>
        <w:t xml:space="preserve"> </w:t>
      </w:r>
      <w:r>
        <w:t xml:space="preserve"> </w:t>
      </w:r>
      <w:r>
        <w:t xml:space="preserve">The figure shows a typical industrial setup for the commercial production of ammonia by the Haber-Bosch process. The process operates under conditions that stress the chemical equilibrium to favor product formation.</w:t>
      </w:r>
    </w:p>
    <w:bookmarkEnd w:id="77"/>
    <w:bookmarkEnd w:id="78"/>
    <w:bookmarkEnd w:id="79"/>
    <w:bookmarkEnd w:id="80"/>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73" Target="media/rId73.so" /><Relationship Type="http://schemas.openxmlformats.org/officeDocument/2006/relationships/image" Id="rId55" Target="media/rId55.so" /><Relationship Type="http://schemas.openxmlformats.org/officeDocument/2006/relationships/image" Id="rId33" Target="media/rId33.so" /><Relationship Type="http://schemas.openxmlformats.org/officeDocument/2006/relationships/image" Id="rId47" Target="media/rId47.so" /><Relationship Type="http://schemas.openxmlformats.org/officeDocument/2006/relationships/image" Id="rId68" Target="media/rId68.so" /><Relationship Type="http://schemas.openxmlformats.org/officeDocument/2006/relationships/image" Id="rId23" Target="media/rId23.so" /><Relationship Type="http://schemas.openxmlformats.org/officeDocument/2006/relationships/image" Id="rId60" Target="media/rId60.so" /><Relationship Type="http://schemas.openxmlformats.org/officeDocument/2006/relationships/image" Id="rId43" Target="media/rId43.so" /><Relationship Type="http://schemas.openxmlformats.org/officeDocument/2006/relationships/image" Id="rId37" Target="media/rId37.so" /><Relationship Type="http://schemas.openxmlformats.org/officeDocument/2006/relationships/hyperlink" Id="rId41" Target="http://openstax.org/l/16equichange"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41" Target="http://openstax.org/l/16equichang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2025-01-24T22:26:37Z</dcterms:created>
  <dcterms:modified xsi:type="dcterms:W3CDTF">2025-01-24T22:26:37Z</dcterms:modified>
</cp:coreProperties>
</file>

<file path=docProps/custom.xml><?xml version="1.0" encoding="utf-8"?>
<Properties xmlns="http://schemas.openxmlformats.org/officeDocument/2006/custom-properties" xmlns:vt="http://schemas.openxmlformats.org/officeDocument/2006/docPropsVTypes"/>
</file>