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footer1.xml" ContentType="application/vnd.openxmlformats-officedocument.wordprocessingml.footer+xml"/>
  <Override PartName="/word/media/rId52.so" ContentType="application/octet-stream"/>
  <Override PartName="/word/media/rId35.so" ContentType="application/octet-stream"/>
  <Override PartName="/word/media/rId62.so" ContentType="application/octet-stream"/>
  <Override PartName="/word/media/rId70.so" ContentType="application/octet-stream"/>
  <Override PartName="/word/media/rId40.so" ContentType="application/octet-stream"/>
  <Override PartName="/word/media/rId75.so" ContentType="application/octet-stream"/>
  <Override PartName="/word/media/rId79.so" ContentType="application/octet-stream"/>
  <Override PartName="/word/media/rId30.so" ContentType="application/octet-stream"/>
  <Override PartName="/word/media/rId57.so" ContentType="application/octet-stream"/>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89" w:name="X62ce4508f31f0b3398cd7eb91cbcf3da9907d54"/>
    <w:bookmarkStart w:id="88" w:name="X3391eb1647887dc5b6c305bd0f6439171bef9e5"/>
    <w:p>
      <w:pPr>
        <w:pStyle w:val="Heading2"/>
      </w:pPr>
      <w:r>
        <w:t xml:space="preserve">4.5   Magnbundin efnagreining</w:t>
      </w:r>
    </w:p>
    <w:bookmarkStart w:id="20" w:name="learning-objectives"/>
    <w:p>
      <w:pPr>
        <w:pStyle w:val="Heading3"/>
      </w:pPr>
      <w:r>
        <w:t>Námsmarkmið</w:t>
      </w:r>
    </w:p>
    <w:p>
      <w:pPr>
        <w:pStyle w:val="FirstParagraph"/>
      </w:pPr>
      <w:r>
        <w:t xml:space="preserve">Í lok þessa kafla muntu geta:</w:t>
      </w:r>
    </w:p>
    <w:p>
      <w:pPr>
        <w:numPr>
          <w:ilvl w:val="0"/>
          <w:numId w:val="1001"/>
        </w:numPr>
        <w:pStyle w:val="Compact"/>
      </w:pPr>
      <w:r>
        <w:t xml:space="preserve">Lýst grundvallarþáttum títrunar og þyngdarmælingagreiningar.</w:t>
      </w:r>
    </w:p>
    <w:p>
      <w:pPr>
        <w:numPr>
          <w:ilvl w:val="0"/>
          <w:numId w:val="1001"/>
        </w:numPr>
        <w:pStyle w:val="Compact"/>
      </w:pPr>
      <w:r>
        <w:t xml:space="preserve">Framkvæmt útreikninga í hlutfallaefnafræði með dæmigerðum gögnum úr títrun og þyngdarmælingagreiningu.</w:t>
      </w:r>
    </w:p>
    <w:bookmarkEnd w:id="20"/>
    <w:p>
      <w:pPr>
        <w:pStyle w:val="FirstParagraph"/>
      </w:pPr>
      <w:r>
        <w:t xml:space="preserve">Á 18. öld var styrkur (í raun mólstyrkur) edikssýna ákvarðaður með því að skrá magn kalíumkarbónats, K</w:t>
      </w:r>
      <w:r>
        <w:rPr>
          <w:vertAlign w:val="subscript"/>
        </w:rPr>
        <w:t>2</w:t>
      </w:r>
      <w:r>
        <w:t>CO</w:t>
      </w:r>
      <w:r>
        <w:rPr>
          <w:vertAlign w:val="subscript"/>
        </w:rPr>
        <w:t>3</w:t>
      </w:r>
      <w:r>
        <w:t xml:space="preserve">, sem þurfti að bæta við, smátt og smátt, þar til það hætti að freyða. Því meiri þyngd kalíumkarbónats sem bætt var við til að ná þeim punkti þar sem freyðingunni lauk, því sterkara var edikið.</w:t>
      </w:r>
    </w:p>
    <w:p>
      <w:pPr>
        <w:pStyle w:val="TextBody"/>
      </w:pPr>
      <w:r>
        <w:t xml:space="preserve">Við vitum nú að freyðingin sem átti sér stað í þessu ferli stafaði af efnahvarfi við ediksýru, CH</w:t>
      </w:r>
      <w:r>
        <w:rPr>
          <w:vertAlign w:val="subscript"/>
        </w:rPr>
        <w:t>3</w:t>
      </w:r>
      <w:r>
        <w:t>CO</w:t>
      </w:r>
      <w:r>
        <w:rPr>
          <w:vertAlign w:val="subscript"/>
        </w:rPr>
        <w:t>2</w:t>
      </w:r>
      <w:r>
        <w:t xml:space="preserve">H, efnasambandið sem er aðallega ábyrgt fyrir lykt og bragði ediks. Ediksýra hvarfast við kalíumkarbónat samkvæmt eftirfarandi jöfnu:</w:t>
      </w:r>
    </w:p>
    <w:bookmarkStart w:id="21" w:name="fs-idm1518128"/>
    <w:p>
      <w:pPr>
        <w:pStyle w:val="TextBody"/>
      </w:pPr>
      <m:oMath>
        <m:r>
          <m:t>2</m:t>
        </m:r>
        <m:sSub>
          <m:e>
            <m:r>
              <m:rPr>
                <m:nor/>
                <m:sty m:val="p"/>
              </m:rPr>
              <m:t>CH</m:t>
            </m:r>
          </m:e>
          <m:sub>
            <m:r>
              <m:t>3</m:t>
            </m:r>
          </m:sub>
        </m:sSub>
        <m:sSub>
          <m:e>
            <m:r>
              <m:rPr>
                <m:nor/>
                <m:sty m:val="p"/>
              </m:rPr>
              <m:t>CO</m:t>
            </m:r>
          </m:e>
          <m:sub>
            <m:r>
              <m:t>2</m:t>
            </m:r>
          </m:sub>
        </m:sSub>
        <m:r>
          <m:rPr>
            <m:nor/>
            <m:sty m:val="p"/>
          </m:rPr>
          <m:t>H</m:t>
        </m:r>
        <m:d>
          <m:dPr>
            <m:begChr m:val="("/>
            <m:endChr m:val=")"/>
            <m:sepChr m:val=""/>
            <m:grow/>
          </m:dPr>
          <m:e>
            <m:r>
              <m:t>a</m:t>
            </m:r>
            <m:r>
              <m:t>q</m:t>
            </m:r>
          </m:e>
        </m:d>
        <m:r>
          <m:rPr>
            <m:sty m:val="p"/>
          </m:rPr>
          <m:t>+</m:t>
        </m:r>
        <m:sSub>
          <m:e>
            <m:r>
              <m:rPr>
                <m:nor/>
                <m:sty m:val="p"/>
              </m:rPr>
              <m:t>K</m:t>
            </m:r>
          </m:e>
          <m:sub>
            <m:r>
              <m:t>2</m:t>
            </m:r>
          </m:sub>
        </m:sSub>
        <m:sSub>
          <m:e>
            <m:r>
              <m:rPr>
                <m:nor/>
                <m:sty m:val="p"/>
              </m:rPr>
              <m:t>CO</m:t>
            </m:r>
          </m:e>
          <m:sub>
            <m:r>
              <m:t>3</m:t>
            </m:r>
          </m:sub>
        </m:sSub>
        <m:d>
          <m:dPr>
            <m:begChr m:val="("/>
            <m:endChr m:val=")"/>
            <m:sepChr m:val=""/>
            <m:grow/>
          </m:dPr>
          <m:e>
            <m:r>
              <m:t>s</m:t>
            </m:r>
          </m:e>
        </m:d>
        <m:r>
          <m:t> </m:t>
        </m:r>
        <m:r>
          <m:rPr>
            <m:sty m:val="p"/>
          </m:rPr>
          <m:t>→</m:t>
        </m:r>
        <m:r>
          <m:t> </m:t>
        </m:r>
        <m:sSub>
          <m:e>
            <m:r>
              <m:t>2</m:t>
            </m:r>
            <m:r>
              <m:rPr>
                <m:nor/>
                <m:sty m:val="p"/>
              </m:rPr>
              <m:t>CH</m:t>
            </m:r>
          </m:e>
          <m:sub>
            <m:r>
              <m:t>3</m:t>
            </m:r>
          </m:sub>
        </m:sSub>
        <m:sSub>
          <m:e>
            <m:r>
              <m:rPr>
                <m:nor/>
                <m:sty m:val="p"/>
              </m:rPr>
              <m:t>CO</m:t>
            </m:r>
          </m:e>
          <m:sub>
            <m:r>
              <m:t>2</m:t>
            </m:r>
          </m:sub>
        </m:sSub>
        <m:r>
          <m:rPr>
            <m:nor/>
            <m:sty m:val="p"/>
          </m:rPr>
          <m:t>K</m:t>
        </m:r>
        <m:d>
          <m:dPr>
            <m:begChr m:val="("/>
            <m:endChr m:val=")"/>
            <m:sepChr m:val=""/>
            <m:grow/>
          </m:dPr>
          <m:e>
            <m:r>
              <m:t>a</m:t>
            </m:r>
            <m:r>
              <m:t>q</m:t>
            </m:r>
          </m:e>
        </m:d>
        <m:r>
          <m:rPr>
            <m:sty m:val="p"/>
          </m:rPr>
          <m:t>+</m:t>
        </m:r>
        <m:sSub>
          <m:e>
            <m:r>
              <m:rPr>
                <m:nor/>
                <m:sty m:val="p"/>
              </m:rPr>
              <m:t>CO</m:t>
            </m:r>
          </m:e>
          <m:sub>
            <m:r>
              <m:t>2</m:t>
            </m:r>
          </m:sub>
        </m:sSub>
        <m:d>
          <m:dPr>
            <m:begChr m:val="("/>
            <m:endChr m:val=")"/>
            <m:sepChr m:val=""/>
            <m:grow/>
          </m:dPr>
          <m:e>
            <m:r>
              <m:t>g</m:t>
            </m:r>
          </m:e>
        </m:d>
        <m:r>
          <m:rPr>
            <m:sty m:val="p"/>
          </m:rPr>
          <m:t>+</m:t>
        </m:r>
        <m:sSub>
          <m:e>
            <m:r>
              <m:rPr>
                <m:nor/>
                <m:sty m:val="p"/>
              </m:rPr>
              <m:t>H</m:t>
            </m:r>
          </m:e>
          <m:sub>
            <m:r>
              <m:t>2</m:t>
            </m:r>
          </m:sub>
        </m:sSub>
        <m:r>
          <m:rPr>
            <m:nor/>
            <m:sty m:val="p"/>
          </m:rPr>
          <m:t>O</m:t>
        </m:r>
        <m:d>
          <m:dPr>
            <m:begChr m:val="("/>
            <m:endChr m:val=")"/>
            <m:sepChr m:val=""/>
            <m:grow/>
          </m:dPr>
          <m:e>
            <m:r>
              <m:t>l</m:t>
            </m:r>
          </m:e>
        </m:d>
      </m:oMath>
    </w:p>
    <w:bookmarkEnd w:id="21"/>
    <w:p>
      <w:pPr>
        <w:pStyle w:val="TextBody"/>
      </w:pPr>
      <w:r>
        <w:t xml:space="preserve">Freyðingin stafaði af myndun CO</w:t>
      </w:r>
      <w:r>
        <w:rPr>
          <w:vertAlign w:val="subscript"/>
        </w:rPr>
        <w:t>2</w:t>
      </w:r>
      <w:r>
        <w:t>.</w:t>
      </w:r>
    </w:p>
    <w:p>
      <w:pPr>
        <w:pStyle w:val="TextBody"/>
      </w:pPr>
      <w:r>
        <w:t xml:space="preserve">Prófun á ediki með kalíumkarbónati er ein tegund </w:t>
      </w:r>
      <w:bookmarkStart w:id="22" w:name="term-00001"/>
      <w:r>
        <w:t xml:space="preserve">magnbundinnar greiningar</w:t>
      </w:r>
      <w:bookmarkEnd w:id="22"/>
      <w:r>
        <w:t xml:space="preserve">—ákvörðun á magni eða styrk efnis í sýni. Í greiningu á ediki var styrkur uppleysta efnisins (ediksýru) ákvarðaður út frá magni hvarfefnis sem hvarfaðist við uppleysta efnið sem var til staðar í þekktu rúmmáli lausnarinnar. Í öðrum tegundum efnagreininga er magn efnis sem er til staðar í sýni ákvarðað með því að mæla magn myndefnis sem myndast.</w:t>
      </w:r>
    </w:p>
    <w:bookmarkStart w:id="50" w:name="fs-idp85215712"/>
    <w:bookmarkStart w:id="49" w:name="titration"/>
    <w:p>
      <w:pPr>
        <w:pStyle w:val="Heading3"/>
      </w:pPr>
      <w:r>
        <w:t>Títrun</w:t>
      </w:r>
    </w:p>
    <w:p>
      <w:pPr>
        <w:pStyle w:val="FirstParagraph"/>
      </w:pPr>
      <w:r>
        <w:t xml:space="preserve">Sú aðferð til að mæla styrk ediks, sem lýst var hér á undan, var frumútgáfa af greiningartækninni sem kallast </w:t>
      </w:r>
      <w:bookmarkStart w:id="23" w:name="term-00002"/>
      <w:r>
        <w:t>títrunargreining</w:t>
      </w:r>
      <w:bookmarkEnd w:id="23"/>
      <w:r>
        <w:t xml:space="preserve">. Dæmigerð títrunargreining felur í sér notkun á </w:t>
      </w:r>
      <w:bookmarkStart w:id="24" w:name="term-00003"/>
      <w:r>
        <w:t>búrettu</w:t>
      </w:r>
      <w:bookmarkEnd w:id="24"/>
      <w:r>
        <w:t xml:space="preserve"> (</w:t>
      </w:r>
      <w:hyperlink w:anchor="CNX_Chem_04_05_titration">
        <w:r>
          <w:rPr>
            <w:rStyle w:val="InternetLink"/>
          </w:rPr>
          <w:t xml:space="preserve">mynd 4.16</w:t>
        </w:r>
      </w:hyperlink>
      <w:r>
        <w:t xml:space="preserve">) til að bæta skömmtum af lausn sem inniheldur þekktan styrk af einhverju efni (</w:t>
      </w:r>
      <w:bookmarkStart w:id="25" w:name="term-00004"/>
      <w:r>
        <w:t>títrantur</w:t>
      </w:r>
      <w:bookmarkEnd w:id="25"/>
      <w:r>
        <w:t xml:space="preserve">) við sýnislausn sem inniheldur efnið með óþekktan styrk em á að mæla (</w:t>
      </w:r>
      <w:bookmarkStart w:id="26" w:name="term-00005"/>
      <w:r>
        <w:t>greiniefni</w:t>
      </w:r>
      <w:bookmarkEnd w:id="26"/>
      <w:r>
        <w:t xml:space="preserve">). Títranturinn og greiniefnið gangast undir efnahvarf með þekktri hlutfallaefnafræði, og því gerir mæling á rúmmáli títrantslausnar sem þarf til að ljúka efnahvarfinu við greiniefnið (</w:t>
      </w:r>
      <w:bookmarkStart w:id="27" w:name="term-00006"/>
      <w:r>
        <w:t>jafngildispunktur</w:t>
      </w:r>
      <w:bookmarkEnd w:id="27"/>
      <w:r>
        <w:t xml:space="preserve"> títrunarinnar) kleift að reikna út styrk greiniefnisins. Hægt er að greina jafngildispunkt títrunar með berum augum ef greinileg breyting á útliti sýnislausnarinnar fylgir lokum efnahvarfsins. Stöðvun freyðingar í klassísku ediksgreiningunni er eitt slíkt dæmi, þótt algengara sé að sérstökum litarefnum, sem kallast </w:t>
      </w:r>
      <w:bookmarkStart w:id="28" w:name="term-00007"/>
      <w:r>
        <w:t>litvísar</w:t>
      </w:r>
      <w:bookmarkEnd w:id="28"/>
      <w:r>
        <w:t xml:space="preserve">, sé bætt við sýnislausnirnar til að valda litabreytingu við eða mjög nálægt jafngildispunkti títrunarinnar. Einnig er hægt að greina jafngildispunkta með því að mæla einhvern eiginleika lausnarinnar sem breytist á fyrirsjáanlegan hátt í gegnum títrunina. Óháð því hvaða aðferð er notuð til að greina jafngildispunkt títrunar er rúmmál títrants sem raunverulega er mælt kallað </w:t>
      </w:r>
      <w:bookmarkStart w:id="29" w:name="term-00008"/>
      <w:r>
        <w:t>endapunktur</w:t>
      </w:r>
      <w:bookmarkEnd w:id="29"/>
      <w:r>
        <w:t xml:space="preserve">. Rétt hannaðar títrunaraðferðir tryggja yfirleitt að munurinn á jafngildispunkti og endapunkti sé hverfandi. Þótt hvers konar efnahvarf geti legið til grundvallar títrunargreiningu eru þau þrjú sem lýst er í þessum kafla (útfelling, sýru-basa og oxun-afoxun) algengust. Nánari upplýsingar um títrunargreiningu er að finna í kaflanum um sýru-basa jafnvægi.</w:t>
      </w:r>
    </w:p>
    <w:tbl>
      <w:tblPr>
        <w:tblStyle w:val="FigureTable"/>
        <w:tblW w:type="auto" w:w="0"/>
        <w:tblLook w:firstRow="0" w:lastRow="0" w:firstColumn="0" w:lastColumn="0"/>
        <w:jc w:val="center"/>
      </w:tblPr>
      <w:tblGrid>
        <w:gridCol w:w="7920"/>
      </w:tblGrid>
      <w:tr>
        <w:tc>
          <w:tcPr/>
          <w:p>
            <w:pPr>
              <w:pStyle w:val="Compact"/>
              <w:jc w:val="center"/>
            </w:pPr>
            <w:bookmarkStart w:id="33" w:name="fs-idp38472096"/>
            <w:r>
              <w:t xml:space="preserve"> </w:t>
              <w:drawing>
                <wp:inline>
                  <wp:extent cx="4457700" cy="3429000"/>
                  <wp:effectExtent b="0" l="0" r="0" t="0"/>
                  <wp:docPr descr="Two pictures are shown. In a, a person is shown pouring a liquid from a small beaker into a buret. The person is wearing goggles and gloves as she transfers the solution into the buret. In b, a close up view of the markings on the side of the buret is shown. The markings for 10, 15, and 20 are clearly shown with horizontal rings printed on the buret. Between each of these whole number markings, half markings are also clearly shown with horizontal line segment markings." title="" id="31" name="Picture"/>
                  <a:graphic>
                    <a:graphicData uri="http://schemas.openxmlformats.org/drawingml/2006/picture">
                      <pic:pic>
                        <pic:nvPicPr>
                          <pic:cNvPr descr="../resources/a9651da338939dcd03a6d114ace654a37b856056" id="32" name="Picture"/>
                          <pic:cNvPicPr>
                            <a:picLocks noChangeArrowheads="1" noChangeAspect="1"/>
                          </pic:cNvPicPr>
                        </pic:nvPicPr>
                        <pic:blipFill>
                          <a:blip r:embed="rId30"/>
                          <a:stretch>
                            <a:fillRect/>
                          </a:stretch>
                        </pic:blipFill>
                        <pic:spPr bwMode="auto">
                          <a:xfrm>
                            <a:off x="0" y="0"/>
                            <a:ext cx="4457700" cy="3429000"/>
                          </a:xfrm>
                          <a:prstGeom prst="rect">
                            <a:avLst/>
                          </a:prstGeom>
                          <a:noFill/>
                          <a:ln w="9525">
                            <a:noFill/>
                            <a:headEnd/>
                            <a:tailEnd/>
                          </a:ln>
                        </pic:spPr>
                      </pic:pic>
                    </a:graphicData>
                  </a:graphic>
                </wp:inline>
              </w:drawing>
              <w:t xml:space="preserve"> </w:t>
            </w:r>
            <w:bookmarkEnd w:id="33"/>
          </w:p>
        </w:tc>
      </w:tr>
    </w:tbl>
    <w:p>
      <w:pPr>
        <w:pStyle w:val="TextBody"/>
      </w:pPr>
      <w:r>
        <w:t xml:space="preserve">Mynd  4.16   (a) Nemandi fyllir búrettu í undirbúningi fyrir títrunargreiningu. (b) Dæmigerð búretta gerir kleift að mæla rúmmál með 0,01 ml nákvæmni. (heimild a: breyting á verki eftir Mark Blaser og Matt Evans; heimild b: breyting á verki eftir Mark Blaser og Matt Evans)</w:t>
      </w:r>
    </w:p>
    <w:bookmarkStart w:id="48" w:name="fs-idp80717680"/>
    <w:p>
      <w:pPr>
        <w:pStyle w:val="Heading3Grey"/>
      </w:pPr>
      <w:r>
        <w:t xml:space="preserve">Dæmi  4.14  </w:t>
      </w:r>
    </w:p>
    <w:p>
      <w:pPr>
        <w:pStyle w:val="Heading4Grey"/>
      </w:pPr>
      <w:r>
        <w:t>Títrunargreining</w:t>
      </w:r>
    </w:p>
    <w:p>
      <w:pPr>
        <w:pStyle w:val="NoteExampleGrey"/>
      </w:pPr>
      <w:r>
        <w:t xml:space="preserve">Endapunkti í títrun á 50,00 ml sýni af HCl í vatnslausn var náð með því að bæta við 35,23 ml af 0,250 M NaOH títranti. Títrunarhvarfið er:</w:t>
      </w:r>
    </w:p>
    <w:bookmarkStart w:id="34" w:name="fs-idp79702544"/>
    <w:p>
      <w:pPr>
        <w:pStyle w:val="NoteExampleGrey"/>
      </w:pPr>
      <m:oMath>
        <m:r>
          <m:rPr>
            <m:nor/>
            <m:sty m:val="p"/>
          </m:rPr>
          <m:t>HCl</m:t>
        </m:r>
        <m:d>
          <m:dPr>
            <m:begChr m:val="("/>
            <m:endChr m:val=")"/>
            <m:sepChr m:val=""/>
            <m:grow/>
          </m:dPr>
          <m:e>
            <m:r>
              <m:t>a</m:t>
            </m:r>
            <m:r>
              <m:t>q</m:t>
            </m:r>
          </m:e>
        </m:d>
        <m:r>
          <m:rPr>
            <m:sty m:val="p"/>
          </m:rPr>
          <m:t>+</m:t>
        </m:r>
        <m:r>
          <m:rPr>
            <m:nor/>
            <m:sty m:val="p"/>
          </m:rPr>
          <m:t>NaOH</m:t>
        </m:r>
        <m:d>
          <m:dPr>
            <m:begChr m:val="("/>
            <m:endChr m:val=")"/>
            <m:sepChr m:val=""/>
            <m:grow/>
          </m:dPr>
          <m:e>
            <m:r>
              <m:t>a</m:t>
            </m:r>
            <m:r>
              <m:t>q</m:t>
            </m:r>
          </m:e>
        </m:d>
        <m:r>
          <m:t> </m:t>
        </m:r>
        <m:r>
          <m:rPr>
            <m:sty m:val="p"/>
          </m:rPr>
          <m:t>→</m:t>
        </m:r>
        <m:r>
          <m:t> </m:t>
        </m:r>
        <m:r>
          <m:rPr>
            <m:nor/>
            <m:sty m:val="p"/>
          </m:rPr>
          <m:t>NaCl</m:t>
        </m:r>
        <m:d>
          <m:dPr>
            <m:begChr m:val="("/>
            <m:endChr m:val=")"/>
            <m:sepChr m:val=""/>
            <m:grow/>
          </m:dPr>
          <m:e>
            <m:r>
              <m:t>a</m:t>
            </m:r>
            <m:r>
              <m:t>q</m:t>
            </m:r>
          </m:e>
        </m:d>
        <m:r>
          <m:rPr>
            <m:sty m:val="p"/>
          </m:rPr>
          <m:t>+</m:t>
        </m:r>
        <m:sSub>
          <m:e>
            <m:r>
              <m:rPr>
                <m:nor/>
                <m:sty m:val="p"/>
              </m:rPr>
              <m:t>H</m:t>
            </m:r>
          </m:e>
          <m:sub>
            <m:r>
              <m:t>2</m:t>
            </m:r>
          </m:sub>
        </m:sSub>
        <m:r>
          <m:rPr>
            <m:nor/>
            <m:sty m:val="p"/>
          </m:rPr>
          <m:t>O</m:t>
        </m:r>
        <m:d>
          <m:dPr>
            <m:begChr m:val="("/>
            <m:endChr m:val=")"/>
            <m:sepChr m:val=""/>
            <m:grow/>
          </m:dPr>
          <m:e>
            <m:r>
              <m:t>l</m:t>
            </m:r>
          </m:e>
        </m:d>
      </m:oMath>
    </w:p>
    <w:bookmarkEnd w:id="34"/>
    <w:p>
      <w:pPr>
        <w:pStyle w:val="NoteExampleGrey"/>
      </w:pPr>
      <w:r>
        <w:t xml:space="preserve">Hver er mólstyrkur HCl?</w:t>
      </w:r>
    </w:p>
    <w:p>
      <w:pPr>
        <w:pStyle w:val="Heading4Grey"/>
      </w:pPr>
      <w:r>
        <w:t>Lausn</w:t>
      </w:r>
    </w:p>
    <w:p>
      <w:pPr>
        <w:pStyle w:val="NoteExampleGrey"/>
      </w:pPr>
      <w:r>
        <w:t xml:space="preserve">Eins og í öllum útreikningum á hlutfallaefnafræði efnahvarfa er lykilatriðið sambandið milli mólmagns þeirra efna sem um ræðir eins og sýnt er í stilltri efnajöfnu. Farið er eftir aðferðinni sem lýst er í fyrri greinum þessa kafla, með viðbótarathugunum sem krafist er, þar sem magn hvarfefna sem gefið er upp og beðið er um er sett fram sem styrkur lausna.</w:t>
      </w:r>
    </w:p>
    <w:p>
      <w:pPr>
        <w:pStyle w:val="NoteExampleGrey"/>
      </w:pPr>
      <w:r>
        <w:t xml:space="preserve">Í þessu dæmi munu útreikningarnir fylgja eftirfarandi skrefum:</w:t>
      </w:r>
    </w:p>
    <w:p>
      <w:pPr>
        <w:pStyle w:val="NoteExampleGrey"/>
      </w:pPr>
      <w:bookmarkStart w:id="38" w:name="fs-idm28534832"/>
      <w:r>
        <w:t xml:space="preserve"> </w:t>
        <w:drawing>
          <wp:inline>
            <wp:extent cx="4572000" cy="2029968"/>
            <wp:effectExtent b="0" l="0" r="0" t="0"/>
            <wp:docPr descr="This figure shows four rectangles. The first is shaded lavender and is labeled, “Volume of N a O H.” This rectangle is followed by an arrow pointing right which is labeled, “Molar concentration,” to a second rectangle. This second rectangle is shaded pink and is labeled, “Moles of N a O H.” This rectangle is followed by an arrow pointing right which is labeled, “Stoichiometric factor,” to a third rectangle which is shaded pink and is labeled, “Moles of H C l.” This rectangle is followed by an arrow labeled, “Solution volume,” which points right to a fourth rectangle. This fourth rectangle is shaded lavender and is labeled, “Concentration of H C l.”" title="" id="36" name="Picture"/>
            <a:graphic>
              <a:graphicData uri="http://schemas.openxmlformats.org/drawingml/2006/picture">
                <pic:pic>
                  <pic:nvPicPr>
                    <pic:cNvPr descr="../resources/5bb4df3e994182aa2bfdbe26ae718694ec6dd197" id="37" name="Picture"/>
                    <pic:cNvPicPr>
                      <a:picLocks noChangeArrowheads="1" noChangeAspect="1"/>
                    </pic:cNvPicPr>
                  </pic:nvPicPr>
                  <pic:blipFill>
                    <a:blip r:embed="rId35"/>
                    <a:stretch>
                      <a:fillRect/>
                    </a:stretch>
                  </pic:blipFill>
                  <pic:spPr bwMode="auto">
                    <a:xfrm>
                      <a:off x="0" y="0"/>
                      <a:ext cx="4572000" cy="2029968"/>
                    </a:xfrm>
                    <a:prstGeom prst="rect">
                      <a:avLst/>
                    </a:prstGeom>
                    <a:noFill/>
                    <a:ln w="9525">
                      <a:noFill/>
                      <a:headEnd/>
                      <a:tailEnd/>
                    </a:ln>
                  </pic:spPr>
                </pic:pic>
              </a:graphicData>
            </a:graphic>
          </wp:inline>
        </w:drawing>
        <w:t xml:space="preserve"> </w:t>
      </w:r>
      <w:bookmarkEnd w:id="38"/>
    </w:p>
    <w:p>
      <w:pPr>
        <w:pStyle w:val="NoteExampleGrey"/>
      </w:pPr>
      <w:r>
        <w:t xml:space="preserve">Mólmagn HCl er reiknað út sem:</w:t>
      </w:r>
    </w:p>
    <w:bookmarkStart w:id="39" w:name="fs-idp60191360"/>
    <w:p>
      <w:pPr>
        <w:pStyle w:val="NoteExampleGrey"/>
      </w:pPr>
      <m:oMath>
        <m:r>
          <m:t>35.23</m:t>
        </m:r>
        <m:r>
          <m:t> </m:t>
        </m:r>
        <m:r>
          <m:rPr>
            <m:nor/>
            <m:sty m:val="p"/>
          </m:rPr>
          <m:t>mL NaOH</m:t>
        </m:r>
        <m:r>
          <m:t> </m:t>
        </m:r>
        <m:r>
          <m:rPr>
            <m:sty m:val="p"/>
          </m:rPr>
          <m:t>×</m:t>
        </m:r>
        <m:r>
          <m:t> </m:t>
        </m:r>
        <m:f>
          <m:fPr>
            <m:type m:val="bar"/>
          </m:fPr>
          <m:num>
            <m:r>
              <m:t>1</m:t>
            </m:r>
            <m:r>
              <m:t> </m:t>
            </m:r>
            <m:r>
              <m:rPr>
                <m:nor/>
                <m:sty m:val="p"/>
              </m:rPr>
              <m:t>L</m:t>
            </m:r>
          </m:num>
          <m:den>
            <m:r>
              <m:t>1000</m:t>
            </m:r>
            <m:r>
              <m:t> </m:t>
            </m:r>
            <m:r>
              <m:rPr>
                <m:nor/>
                <m:sty m:val="p"/>
              </m:rPr>
              <m:t>mL</m:t>
            </m:r>
          </m:den>
        </m:f>
        <m:r>
          <m:t> </m:t>
        </m:r>
        <m:r>
          <m:rPr>
            <m:sty m:val="p"/>
          </m:rPr>
          <m:t>×</m:t>
        </m:r>
        <m:r>
          <m:t> </m:t>
        </m:r>
        <m:f>
          <m:fPr>
            <m:type m:val="bar"/>
          </m:fPr>
          <m:num>
            <m:r>
              <m:t>0.250</m:t>
            </m:r>
            <m:r>
              <m:t> </m:t>
            </m:r>
            <m:r>
              <m:rPr>
                <m:nor/>
                <m:sty m:val="p"/>
              </m:rPr>
              <m:t>mol NaOH</m:t>
            </m:r>
          </m:num>
          <m:den>
            <m:r>
              <m:t>1</m:t>
            </m:r>
            <m:r>
              <m:t> </m:t>
            </m:r>
            <m:r>
              <m:rPr>
                <m:nor/>
                <m:sty m:val="p"/>
              </m:rPr>
              <m:t>L</m:t>
            </m:r>
          </m:den>
        </m:f>
        <m:r>
          <m:t> </m:t>
        </m:r>
        <m:r>
          <m:rPr>
            <m:sty m:val="p"/>
          </m:rPr>
          <m:t>×</m:t>
        </m:r>
        <m:r>
          <m:t> </m:t>
        </m:r>
        <m:f>
          <m:fPr>
            <m:type m:val="bar"/>
          </m:fPr>
          <m:num>
            <m:r>
              <m:rPr>
                <m:nor/>
                <m:sty m:val="p"/>
              </m:rPr>
              <m:t>1 mol HCl</m:t>
            </m:r>
          </m:num>
          <m:den>
            <m:r>
              <m:t>1</m:t>
            </m:r>
            <m:r>
              <m:t> </m:t>
            </m:r>
            <m:r>
              <m:rPr>
                <m:nor/>
                <m:sty m:val="p"/>
              </m:rPr>
              <m:t>mol NaOH</m:t>
            </m:r>
          </m:den>
        </m:f>
        <m:r>
          <m:t> </m:t>
        </m:r>
        <m:r>
          <m:rPr>
            <m:sty m:val="p"/>
          </m:rPr>
          <m:t>=</m:t>
        </m:r>
        <m:r>
          <m:t>8.81</m:t>
        </m:r>
        <m:r>
          <m:t> </m:t>
        </m:r>
        <m:r>
          <m:rPr>
            <m:sty m:val="p"/>
          </m:rPr>
          <m:t>×</m:t>
        </m:r>
        <m:r>
          <m:t> </m:t>
        </m:r>
        <m:sSup>
          <m:e>
            <m:r>
              <m:t>10</m:t>
            </m:r>
          </m:e>
          <m:sup>
            <m:r>
              <m:rPr>
                <m:sty m:val="p"/>
              </m:rPr>
              <m:t>−</m:t>
            </m:r>
            <m:r>
              <m:t>3</m:t>
            </m:r>
          </m:sup>
        </m:sSup>
        <m:r>
          <m:t> </m:t>
        </m:r>
        <m:r>
          <m:rPr>
            <m:nor/>
            <m:sty m:val="p"/>
          </m:rPr>
          <m:t>mol HCl</m:t>
        </m:r>
      </m:oMath>
    </w:p>
    <w:bookmarkEnd w:id="39"/>
    <w:p>
      <w:pPr>
        <w:pStyle w:val="NoteExampleGrey"/>
      </w:pPr>
      <w:r>
        <w:t xml:space="preserve">Með því að nota uppgefið rúmmál HCl-lausnarinnar og skilgreininguna á mólstyrk er styrkur HCl:</w:t>
      </w:r>
    </w:p>
    <w:bookmarkStart w:id="43" w:name="fs-idp180416144"/>
    <w:p>
      <w:pPr>
        <w:pStyle w:val="NoteExampleGrey"/>
      </w:pPr>
      <w:r>
        <w:drawing>
          <wp:inline>
            <wp:extent cx="1352550" cy="923925"/>
            <wp:effectExtent b="0" l="0" r="0" t="0"/>
            <wp:docPr descr="None" title="" id="41" name="Picture"/>
            <a:graphic>
              <a:graphicData uri="http://schemas.openxmlformats.org/drawingml/2006/picture">
                <pic:pic>
                  <pic:nvPicPr>
                    <pic:cNvPr descr="../resources/864b950c2a35e1ac05c5aef29c416d3598da99f4" id="42" name="Picture"/>
                    <pic:cNvPicPr>
                      <a:picLocks noChangeArrowheads="1" noChangeAspect="1"/>
                    </pic:cNvPicPr>
                  </pic:nvPicPr>
                  <pic:blipFill>
                    <a:blip r:embed="rId40"/>
                    <a:stretch>
                      <a:fillRect/>
                    </a:stretch>
                  </pic:blipFill>
                  <pic:spPr bwMode="auto">
                    <a:xfrm>
                      <a:off x="0" y="0"/>
                      <a:ext cx="1352550" cy="923925"/>
                    </a:xfrm>
                    <a:prstGeom prst="rect">
                      <a:avLst/>
                    </a:prstGeom>
                    <a:noFill/>
                    <a:ln w="9525">
                      <a:noFill/>
                      <a:headEnd/>
                      <a:tailEnd/>
                    </a:ln>
                  </pic:spPr>
                </pic:pic>
              </a:graphicData>
            </a:graphic>
          </wp:inline>
        </w:drawing>
      </w:r>
    </w:p>
    <w:bookmarkEnd w:id="43"/>
    <w:p>
      <w:pPr>
        <w:pStyle w:val="NoteExampleGrey"/>
      </w:pPr>
      <w:r>
        <w:t xml:space="preserve">Athugið: Fyrir þessa tegund títrunarútreikninga er hentugt að hafa í huga að mólstyrkur lausnar er einnig jafn fjölda </w:t>
      </w:r>
      <w:r>
        <w:rPr>
          <w:i/>
        </w:rPr>
        <w:t>milli</w:t>
      </w:r>
      <w:r>
        <w:t xml:space="preserve">móla af uppleystu efni á hvern </w:t>
      </w:r>
      <w:r>
        <w:rPr>
          <w:i/>
        </w:rPr>
        <w:t>milli</w:t>
      </w:r>
      <w:r>
        <w:t xml:space="preserve">lítra af lausn:</w:t>
      </w:r>
    </w:p>
    <w:bookmarkStart w:id="44" w:name="fs-idm39309120"/>
    <w:p>
      <w:pPr>
        <w:pStyle w:val="NoteExampleGrey"/>
      </w:pPr>
      <m:oMath>
        <m:r>
          <m:t>M</m:t>
        </m:r>
        <m:r>
          <m:rPr>
            <m:sty m:val="p"/>
          </m:rPr>
          <m:t>=</m:t>
        </m:r>
        <m:r>
          <m:t> </m:t>
        </m:r>
        <m:f>
          <m:fPr>
            <m:type m:val="bar"/>
          </m:fPr>
          <m:num>
            <m:r>
              <m:rPr>
                <m:nor/>
                <m:sty m:val="p"/>
              </m:rPr>
              <m:t>mol solute</m:t>
            </m:r>
          </m:num>
          <m:den>
            <m:r>
              <m:rPr>
                <m:nor/>
                <m:sty m:val="p"/>
              </m:rPr>
              <m:t>L solution</m:t>
            </m:r>
          </m:den>
        </m:f>
        <m:r>
          <m:t> </m:t>
        </m:r>
        <m:r>
          <m:rPr>
            <m:sty m:val="p"/>
          </m:rPr>
          <m:t>×</m:t>
        </m:r>
        <m:r>
          <m:t> </m:t>
        </m:r>
        <m:f>
          <m:fPr>
            <m:type m:val="bar"/>
          </m:fPr>
          <m:num>
            <m:f>
              <m:fPr>
                <m:type m:val="bar"/>
              </m:fPr>
              <m:num>
                <m:sSup>
                  <m:e>
                    <m:r>
                      <m:t>10</m:t>
                    </m:r>
                  </m:e>
                  <m:sup>
                    <m:r>
                      <m:t>3</m:t>
                    </m:r>
                  </m:sup>
                </m:sSup>
                <m:r>
                  <m:t> </m:t>
                </m:r>
                <m:r>
                  <m:rPr>
                    <m:nor/>
                    <m:sty m:val="p"/>
                  </m:rPr>
                  <m:t>mmol</m:t>
                </m:r>
              </m:num>
              <m:den>
                <m:r>
                  <m:rPr>
                    <m:nor/>
                    <m:sty m:val="p"/>
                  </m:rPr>
                  <m:t>mol</m:t>
                </m:r>
              </m:den>
            </m:f>
          </m:num>
          <m:den>
            <m:f>
              <m:fPr>
                <m:type m:val="bar"/>
              </m:fPr>
              <m:num>
                <m:sSup>
                  <m:e>
                    <m:r>
                      <m:t>10</m:t>
                    </m:r>
                  </m:e>
                  <m:sup>
                    <m:r>
                      <m:t>3</m:t>
                    </m:r>
                  </m:sup>
                </m:sSup>
                <m:r>
                  <m:t> </m:t>
                </m:r>
                <m:r>
                  <m:rPr>
                    <m:nor/>
                    <m:sty m:val="p"/>
                  </m:rPr>
                  <m:t>mL</m:t>
                </m:r>
              </m:num>
              <m:den>
                <m:r>
                  <m:rPr>
                    <m:nor/>
                    <m:sty m:val="p"/>
                  </m:rPr>
                  <m:t>L</m:t>
                </m:r>
              </m:den>
            </m:f>
          </m:den>
        </m:f>
        <m:r>
          <m:t> </m:t>
        </m:r>
        <m:r>
          <m:rPr>
            <m:sty m:val="p"/>
          </m:rPr>
          <m:t>=</m:t>
        </m:r>
        <m:r>
          <m:t> </m:t>
        </m:r>
        <m:f>
          <m:fPr>
            <m:type m:val="bar"/>
          </m:fPr>
          <m:num>
            <m:r>
              <m:rPr>
                <m:nor/>
                <m:sty m:val="p"/>
              </m:rPr>
              <m:t>mmol solute</m:t>
            </m:r>
          </m:num>
          <m:den>
            <m:r>
              <m:rPr>
                <m:nor/>
                <m:sty m:val="p"/>
              </m:rPr>
              <m:t>mL solution</m:t>
            </m:r>
          </m:den>
        </m:f>
      </m:oMath>
    </w:p>
    <w:bookmarkEnd w:id="44"/>
    <w:p>
      <w:pPr>
        <w:pStyle w:val="NoteExampleGrey"/>
      </w:pPr>
      <w:r>
        <w:t xml:space="preserve">Með því að nota þessa útgáfu af mólstyrkseiningunni styttist útreikningurinn þar sem tveir umreikningsstuðlar falla brott:</w:t>
      </w:r>
    </w:p>
    <w:bookmarkStart w:id="45" w:name="fs-idm27436528"/>
    <w:p>
      <w:pPr>
        <w:pStyle w:val="NoteExampleGrey"/>
      </w:pPr>
      <m:oMath>
        <m:f>
          <m:fPr>
            <m:type m:val="bar"/>
          </m:fPr>
          <m:num>
            <m:r>
              <m:t>35.23</m:t>
            </m:r>
            <m:r>
              <m:t> </m:t>
            </m:r>
            <m:r>
              <m:rPr>
                <m:nor/>
                <m:sty m:val="p"/>
              </m:rPr>
              <m:t>mL NaOH</m:t>
            </m:r>
            <m:r>
              <m:t> </m:t>
            </m:r>
            <m:r>
              <m:rPr>
                <m:sty m:val="p"/>
              </m:rPr>
              <m:t>×</m:t>
            </m:r>
            <m:r>
              <m:t> </m:t>
            </m:r>
            <m:f>
              <m:fPr>
                <m:type m:val="bar"/>
              </m:fPr>
              <m:num>
                <m:r>
                  <m:t>0.250</m:t>
                </m:r>
                <m:r>
                  <m:t> </m:t>
                </m:r>
                <m:r>
                  <m:rPr>
                    <m:nor/>
                    <m:sty m:val="p"/>
                  </m:rPr>
                  <m:t>mmol NaOH</m:t>
                </m:r>
              </m:num>
              <m:den>
                <m:r>
                  <m:rPr>
                    <m:nor/>
                    <m:sty m:val="p"/>
                  </m:rPr>
                  <m:t>mL NaOH</m:t>
                </m:r>
              </m:den>
            </m:f>
            <m:r>
              <m:t> </m:t>
            </m:r>
            <m:r>
              <m:rPr>
                <m:sty m:val="p"/>
              </m:rPr>
              <m:t>×</m:t>
            </m:r>
            <m:r>
              <m:t> </m:t>
            </m:r>
            <m:f>
              <m:fPr>
                <m:type m:val="bar"/>
              </m:fPr>
              <m:num>
                <m:r>
                  <m:t>1</m:t>
                </m:r>
                <m:r>
                  <m:t> </m:t>
                </m:r>
                <m:r>
                  <m:rPr>
                    <m:nor/>
                    <m:sty m:val="p"/>
                  </m:rPr>
                  <m:t>mmol HCl</m:t>
                </m:r>
              </m:num>
              <m:den>
                <m:r>
                  <m:t>1</m:t>
                </m:r>
                <m:r>
                  <m:t> </m:t>
                </m:r>
                <m:r>
                  <m:rPr>
                    <m:nor/>
                    <m:sty m:val="p"/>
                  </m:rPr>
                  <m:t>mmol NaOH</m:t>
                </m:r>
              </m:den>
            </m:f>
          </m:num>
          <m:den>
            <m:r>
              <m:t>50.00</m:t>
            </m:r>
            <m:r>
              <m:t> </m:t>
            </m:r>
            <m:r>
              <m:rPr>
                <m:nor/>
                <m:sty m:val="p"/>
              </m:rPr>
              <m:t>mL solution</m:t>
            </m:r>
          </m:den>
        </m:f>
        <m:r>
          <m:t> </m:t>
        </m:r>
        <m:r>
          <m:rPr>
            <m:sty m:val="p"/>
          </m:rPr>
          <m:t>=</m:t>
        </m:r>
        <m:r>
          <m:t>0.176</m:t>
        </m:r>
        <m:r>
          <m:t> </m:t>
        </m:r>
        <m:r>
          <m:t>M</m:t>
        </m:r>
        <m:r>
          <m:t> </m:t>
        </m:r>
        <m:r>
          <m:rPr>
            <m:nor/>
            <m:sty m:val="p"/>
          </m:rPr>
          <m:t>HCl</m:t>
        </m:r>
      </m:oMath>
    </w:p>
    <w:bookmarkEnd w:id="45"/>
    <w:p>
      <w:pPr>
        <w:pStyle w:val="Heading4Grey"/>
      </w:pPr>
      <w:r>
        <w:t xml:space="preserve">Prófaðu þekkingu þína</w:t>
      </w:r>
    </w:p>
    <w:p>
      <w:pPr>
        <w:pStyle w:val="NoteExampleGrey"/>
      </w:pPr>
      <w:r>
        <w:t xml:space="preserve">20,00 ml sýni af oxalsýru í vatnslausn, H</w:t>
      </w:r>
      <w:r>
        <w:rPr>
          <w:vertAlign w:val="subscript"/>
        </w:rPr>
        <w:t>2</w:t>
      </w:r>
      <w:r>
        <w:t>C</w:t>
      </w:r>
      <w:r>
        <w:rPr>
          <w:vertAlign w:val="subscript"/>
        </w:rPr>
        <w:t>2</w:t>
      </w:r>
      <w:r>
        <w:t>O</w:t>
      </w:r>
      <w:r>
        <w:rPr>
          <w:vertAlign w:val="subscript"/>
        </w:rPr>
        <w:t>4</w:t>
      </w:r>
      <w:r>
        <w:t xml:space="preserve">, var títrað með 0,09113 </w:t>
      </w:r>
      <w:r>
        <w:rPr>
          <w:i/>
        </w:rPr>
        <w:t>M</w:t>
      </w:r>
      <w:r>
        <w:t xml:space="preserve"> lausn af kalíumpermanganati, KMnO</w:t>
      </w:r>
      <w:r>
        <w:rPr>
          <w:vertAlign w:val="subscript"/>
        </w:rPr>
        <w:t>4</w:t>
      </w:r>
      <w:r>
        <w:t xml:space="preserve"> (sjá nettójónajöfnu hér að neðan).</w:t>
      </w:r>
    </w:p>
    <w:bookmarkStart w:id="46" w:name="fs-idm30080224"/>
    <w:p>
      <w:pPr>
        <w:pStyle w:val="NoteExampleGrey"/>
      </w:pPr>
      <m:oMath>
        <m:sSub>
          <m:e>
            <m:r>
              <m:rPr>
                <m:nor/>
                <m:sty m:val="p"/>
              </m:rPr>
              <m:t>2MnO</m:t>
            </m:r>
          </m:e>
          <m:sub>
            <m:r>
              <m:t>4</m:t>
            </m:r>
          </m:sub>
        </m:sSub>
        <m:sSup>
          <m:e>
            <m:r>
              <m:t>​</m:t>
            </m:r>
          </m:e>
          <m:sup>
            <m:r>
              <m:rPr>
                <m:nor/>
                <m:sty m:val="p"/>
              </m:rPr>
              <m:t>−</m:t>
            </m:r>
          </m:sup>
        </m:sSup>
        <m:d>
          <m:dPr>
            <m:begChr m:val="("/>
            <m:endChr m:val=")"/>
            <m:sepChr m:val=""/>
            <m:grow/>
          </m:dPr>
          <m:e>
            <m:r>
              <m:t>a</m:t>
            </m:r>
            <m:r>
              <m:t>q</m:t>
            </m:r>
          </m:e>
        </m:d>
        <m:r>
          <m:rPr>
            <m:sty m:val="p"/>
          </m:rPr>
          <m:t>+</m:t>
        </m:r>
        <m:r>
          <m:t>5</m:t>
        </m:r>
        <m:sSub>
          <m:e>
            <m:r>
              <m:rPr>
                <m:nor/>
                <m:sty m:val="p"/>
              </m:rPr>
              <m:t>H</m:t>
            </m:r>
          </m:e>
          <m:sub>
            <m:r>
              <m:t>2</m:t>
            </m:r>
          </m:sub>
        </m:sSub>
        <m:sSub>
          <m:e>
            <m:r>
              <m:rPr>
                <m:nor/>
                <m:sty m:val="p"/>
              </m:rPr>
              <m:t>C</m:t>
            </m:r>
          </m:e>
          <m:sub>
            <m:r>
              <m:t>2</m:t>
            </m:r>
          </m:sub>
        </m:sSub>
        <m:sSub>
          <m:e>
            <m:r>
              <m:rPr>
                <m:nor/>
                <m:sty m:val="p"/>
              </m:rPr>
              <m:t>O</m:t>
            </m:r>
          </m:e>
          <m:sub>
            <m:r>
              <m:t>4</m:t>
            </m:r>
          </m:sub>
        </m:sSub>
        <m:d>
          <m:dPr>
            <m:begChr m:val="("/>
            <m:endChr m:val=")"/>
            <m:sepChr m:val=""/>
            <m:grow/>
          </m:dPr>
          <m:e>
            <m:r>
              <m:t>a</m:t>
            </m:r>
            <m:r>
              <m:t>q</m:t>
            </m:r>
          </m:e>
        </m:d>
        <m:r>
          <m:rPr>
            <m:sty m:val="p"/>
          </m:rPr>
          <m:t>+</m:t>
        </m:r>
        <m:r>
          <m:t>6</m:t>
        </m:r>
        <m:sSup>
          <m:e>
            <m:r>
              <m:rPr>
                <m:nor/>
                <m:sty m:val="p"/>
              </m:rPr>
              <m:t>H</m:t>
            </m:r>
          </m:e>
          <m:sup>
            <m:r>
              <m:rPr>
                <m:nor/>
                <m:sty m:val="p"/>
              </m:rPr>
              <m:t>+</m:t>
            </m:r>
          </m:sup>
        </m:sSup>
        <m:d>
          <m:dPr>
            <m:begChr m:val="("/>
            <m:endChr m:val=")"/>
            <m:sepChr m:val=""/>
            <m:grow/>
          </m:dPr>
          <m:e>
            <m:r>
              <m:t>a</m:t>
            </m:r>
            <m:r>
              <m:t>q</m:t>
            </m:r>
          </m:e>
        </m:d>
        <m:r>
          <m:t> </m:t>
        </m:r>
        <m:r>
          <m:rPr>
            <m:sty m:val="p"/>
          </m:rPr>
          <m:t>→</m:t>
        </m:r>
        <m:r>
          <m:t> </m:t>
        </m:r>
        <m:r>
          <m:t>10</m:t>
        </m:r>
        <m:sSub>
          <m:e>
            <m:r>
              <m:rPr>
                <m:nor/>
                <m:sty m:val="p"/>
              </m:rPr>
              <m:t>CO</m:t>
            </m:r>
          </m:e>
          <m:sub>
            <m:r>
              <m:t>2</m:t>
            </m:r>
          </m:sub>
        </m:sSub>
        <m:d>
          <m:dPr>
            <m:begChr m:val="("/>
            <m:endChr m:val=")"/>
            <m:sepChr m:val=""/>
            <m:grow/>
          </m:dPr>
          <m:e>
            <m:r>
              <m:t>g</m:t>
            </m:r>
          </m:e>
        </m:d>
        <m:r>
          <m:rPr>
            <m:sty m:val="p"/>
          </m:rPr>
          <m:t>+</m:t>
        </m:r>
        <m:r>
          <m:t>2</m:t>
        </m:r>
        <m:sSup>
          <m:e>
            <m:r>
              <m:rPr>
                <m:nor/>
                <m:sty m:val="p"/>
              </m:rPr>
              <m:t>Mn</m:t>
            </m:r>
          </m:e>
          <m:sup>
            <m:r>
              <m:t>2</m:t>
            </m:r>
            <m:r>
              <m:rPr>
                <m:sty m:val="p"/>
              </m:rPr>
              <m:t>+</m:t>
            </m:r>
          </m:sup>
        </m:sSup>
        <m:d>
          <m:dPr>
            <m:begChr m:val="("/>
            <m:endChr m:val=")"/>
            <m:sepChr m:val=""/>
            <m:grow/>
          </m:dPr>
          <m:e>
            <m:r>
              <m:t>a</m:t>
            </m:r>
            <m:r>
              <m:t>q</m:t>
            </m:r>
          </m:e>
        </m:d>
        <m:r>
          <m:rPr>
            <m:sty m:val="p"/>
          </m:rPr>
          <m:t>+</m:t>
        </m:r>
        <m:r>
          <m:t>8</m:t>
        </m:r>
        <m:sSub>
          <m:e>
            <m:r>
              <m:rPr>
                <m:nor/>
                <m:sty m:val="p"/>
              </m:rPr>
              <m:t>H</m:t>
            </m:r>
          </m:e>
          <m:sub>
            <m:r>
              <m:t>2</m:t>
            </m:r>
          </m:sub>
        </m:sSub>
        <m:r>
          <m:rPr>
            <m:nor/>
            <m:sty m:val="p"/>
          </m:rPr>
          <m:t>O</m:t>
        </m:r>
        <m:d>
          <m:dPr>
            <m:begChr m:val="("/>
            <m:endChr m:val=")"/>
            <m:sepChr m:val=""/>
            <m:grow/>
          </m:dPr>
          <m:e>
            <m:r>
              <m:t>l</m:t>
            </m:r>
          </m:e>
        </m:d>
      </m:oMath>
    </w:p>
    <w:bookmarkEnd w:id="46"/>
    <w:p>
      <w:pPr>
        <w:pStyle w:val="NoteExampleGrey"/>
      </w:pPr>
      <w:r>
        <w:t xml:space="preserve">Það þurfti 23,24 ml rúmmál til að ná jafngildispunkti. Hver er mólstyrkur oxalsýrunnar?</w:t>
      </w:r>
    </w:p>
    <w:bookmarkStart w:id="47" w:name="fs-idp52546208"/>
    <w:p>
      <w:pPr>
        <w:pStyle w:val="Heading3Grey"/>
      </w:pPr>
      <w:r>
        <w:t>Svar:</w:t>
      </w:r>
    </w:p>
    <w:p>
      <w:pPr>
        <w:pStyle w:val="NoteExampleGrey"/>
      </w:pPr>
      <w:r>
        <w:t xml:space="preserve">0,2648 </w:t>
      </w:r>
      <w:r>
        <w:rPr>
          <w:i/>
        </w:rPr>
        <w:t>M</w:t>
      </w:r>
    </w:p>
    <w:bookmarkEnd w:id="47"/>
    <w:bookmarkEnd w:id="48"/>
    <w:bookmarkEnd w:id="49"/>
    <w:bookmarkEnd w:id="50"/>
    <w:bookmarkStart w:id="87" w:name="fs-idp68434144"/>
    <w:bookmarkStart w:id="86" w:name="gravimetric-analysis"/>
    <w:p>
      <w:pPr>
        <w:pStyle w:val="Heading3"/>
      </w:pPr>
      <w:r>
        <w:t>Þyngdarmælingagreining</w:t>
      </w:r>
    </w:p>
    <w:p>
      <w:pPr>
        <w:pStyle w:val="FirstParagraph"/>
      </w:pPr>
      <w:bookmarkStart w:id="51" w:name="term-00009"/>
      <w:r>
        <w:t>Þyngdarmælingagreining</w:t>
      </w:r>
      <w:bookmarkEnd w:id="51"/>
      <w:r>
        <w:t xml:space="preserve"> er greining þar sem sýni er meðhöndlað á þann hátt að eðlisástand greiniefnisins breytist sem gerir kleift að aðskilja það frá öðrum efnisþáttum sýnisins. Massamælingar á sýninu, einangraða greiniefninu eða einhverjum öðrum þætti greiningarkerfisins, ásamt þekktri hlutfallaefnafræði viðkomandi efnasambanda, gera kleift að reikna út styrk greiniefnisins. Þyngdarmælingaaðferðir voru fyrstu aðferðirnar sem notaðar voru við magnbundna efnagreiningu og þær eru enn mikilvæg verkfæri á nútíma efnafræðistofum.</w:t>
      </w:r>
    </w:p>
    <w:p>
      <w:pPr>
        <w:pStyle w:val="TextBody"/>
      </w:pPr>
      <w:r>
        <w:t xml:space="preserve">Nauðsynlegum fasaskiptum í þyngdarmælingagreiningu má ná fram með ýmsum eðlis- og efnafræðilegum ferlum. Til dæmis er rakainnihald (vatn) sýnis venjulega ákvarðað með því að mæla massa sýnis fyrir og eftir að það er hitað á stýrðan hátt sem gufar upp vatnið. Einnig eru algengar þyngdarmælingaaðferðir þar sem greiniefnið er látið gangast undir útfellingarhvarf af því tagi sem lýst var fyrr í þessum kafla. Botnfallið er venjulega einangrað úr hvarfblöndunni með síun, þurrkað vandlega og síðan vegið (</w:t>
      </w:r>
      <w:hyperlink w:anchor="CNX_Chem_04_05_Filter">
        <w:r>
          <w:rPr>
            <w:rStyle w:val="InternetLink"/>
          </w:rPr>
          <w:t xml:space="preserve">mynd 4.17</w:t>
        </w:r>
      </w:hyperlink>
      <w:r>
        <w:t xml:space="preserve">). Massa botnfallsins má síðan nota, ásamt viðeigandi hlutfallaefnafræðilegum tengslum, til að reikna út styrk greiniefnisins.</w:t>
      </w:r>
    </w:p>
    <w:tbl>
      <w:tblPr>
        <w:tblStyle w:val="FigureTable"/>
        <w:tblW w:type="auto" w:w="0"/>
        <w:tblLook w:firstRow="0" w:lastRow="0" w:firstColumn="0" w:lastColumn="0"/>
        <w:jc w:val="center"/>
      </w:tblPr>
      <w:tblGrid>
        <w:gridCol w:w="7920"/>
      </w:tblGrid>
      <w:tr>
        <w:tc>
          <w:tcPr/>
          <w:p>
            <w:pPr>
              <w:pStyle w:val="Compact"/>
              <w:jc w:val="center"/>
            </w:pPr>
            <w:bookmarkStart w:id="55" w:name="fs-idp79829856"/>
            <w:r>
              <w:t xml:space="preserve"> </w:t>
              <w:drawing>
                <wp:inline>
                  <wp:extent cx="2971800" cy="4814316"/>
                  <wp:effectExtent b="0" l="0" r="0" t="0"/>
                  <wp:docPr descr="A photo is shown of a flask and funnel used for filtration. The flask contains a slightly opaque liquid filtrate with a slight yellow tint. A funnel, which contains a bright yellow and orange material, sits atop the flask. The flask is held in place by a clamp and is connected to a vacuum line. The connection between the funnel and flask is sealed with a rubber bung or gasket." title="" id="53" name="Picture"/>
                  <a:graphic>
                    <a:graphicData uri="http://schemas.openxmlformats.org/drawingml/2006/picture">
                      <pic:pic>
                        <pic:nvPicPr>
                          <pic:cNvPr descr="../resources/534e89fe395f630f435632b37ef730fa859e7957" id="54" name="Picture"/>
                          <pic:cNvPicPr>
                            <a:picLocks noChangeArrowheads="1" noChangeAspect="1"/>
                          </pic:cNvPicPr>
                        </pic:nvPicPr>
                        <pic:blipFill>
                          <a:blip r:embed="rId52"/>
                          <a:stretch>
                            <a:fillRect/>
                          </a:stretch>
                        </pic:blipFill>
                        <pic:spPr bwMode="auto">
                          <a:xfrm>
                            <a:off x="0" y="0"/>
                            <a:ext cx="2971800" cy="4814316"/>
                          </a:xfrm>
                          <a:prstGeom prst="rect">
                            <a:avLst/>
                          </a:prstGeom>
                          <a:noFill/>
                          <a:ln w="9525">
                            <a:noFill/>
                            <a:headEnd/>
                            <a:tailEnd/>
                          </a:ln>
                        </pic:spPr>
                      </pic:pic>
                    </a:graphicData>
                  </a:graphic>
                </wp:inline>
              </w:drawing>
              <w:t xml:space="preserve"> </w:t>
            </w:r>
            <w:bookmarkEnd w:id="55"/>
          </w:p>
        </w:tc>
      </w:tr>
    </w:tbl>
    <w:p>
      <w:pPr>
        <w:pStyle w:val="TextBody"/>
      </w:pPr>
      <w:r>
        <w:t xml:space="preserve">Mynd  4.17   Hægt er að fjarlægja botnfall úr hvarfblöndu með síun.</w:t>
      </w:r>
    </w:p>
    <w:bookmarkStart w:id="68" w:name="fs-idp69077568"/>
    <w:p>
      <w:pPr>
        <w:pStyle w:val="Heading3Grey"/>
      </w:pPr>
      <w:r>
        <w:t xml:space="preserve">Dæmi  4.15  </w:t>
      </w:r>
    </w:p>
    <w:p>
      <w:pPr>
        <w:pStyle w:val="Heading4Grey"/>
      </w:pPr>
      <w:r>
        <w:t>Þyngdarmælingagreining</w:t>
      </w:r>
    </w:p>
    <w:p>
      <w:pPr>
        <w:pStyle w:val="NoteExampleGrey"/>
      </w:pPr>
      <w:r>
        <w:t xml:space="preserve">0,4550 g föst efnablanda sem inniheldur MgSO</w:t>
      </w:r>
      <w:r>
        <w:rPr>
          <w:vertAlign w:val="subscript"/>
        </w:rPr>
        <w:t>4</w:t>
      </w:r>
      <w:r>
        <w:t xml:space="preserve"> er leyst upp í vatni og meðhöndluð með umframmagni af Ba(NO</w:t>
      </w:r>
      <w:r>
        <w:rPr>
          <w:vertAlign w:val="subscript"/>
        </w:rPr>
        <w:t>3</w:t>
      </w:r>
      <w:r>
        <w:t>)</w:t>
      </w:r>
      <w:r>
        <w:rPr>
          <w:vertAlign w:val="subscript"/>
        </w:rPr>
        <w:t>2</w:t>
      </w:r>
      <w:r>
        <w:t xml:space="preserve">, sem leiðir til útfellingar á 0,6168 g af BaSO</w:t>
      </w:r>
      <w:r>
        <w:rPr>
          <w:vertAlign w:val="subscript"/>
        </w:rPr>
        <w:t>4</w:t>
      </w:r>
      <w:r>
        <w:t>.</w:t>
      </w:r>
    </w:p>
    <w:bookmarkStart w:id="56" w:name="fs-idm25559056"/>
    <w:p>
      <w:pPr>
        <w:pStyle w:val="NoteExampleGrey"/>
      </w:pPr>
      <m:oMath>
        <m:sSub>
          <m:e>
            <m:r>
              <m:rPr>
                <m:nor/>
                <m:sty m:val="p"/>
              </m:rPr>
              <m:t>MgSO</m:t>
            </m:r>
          </m:e>
          <m:sub>
            <m:r>
              <m:t>4</m:t>
            </m:r>
          </m:sub>
        </m:sSub>
        <m:d>
          <m:dPr>
            <m:begChr m:val="("/>
            <m:endChr m:val=")"/>
            <m:sepChr m:val=""/>
            <m:grow/>
          </m:dPr>
          <m:e>
            <m:r>
              <m:t>a</m:t>
            </m:r>
            <m:r>
              <m:t>q</m:t>
            </m:r>
          </m:e>
        </m:d>
        <m:r>
          <m:rPr>
            <m:sty m:val="p"/>
          </m:rPr>
          <m:t>+</m:t>
        </m:r>
        <m:r>
          <m:rPr>
            <m:nor/>
            <m:sty m:val="p"/>
          </m:rPr>
          <m:t>Ba</m:t>
        </m:r>
        <m:sSub>
          <m:e>
            <m:d>
              <m:dPr>
                <m:begChr m:val="("/>
                <m:endChr m:val=")"/>
                <m:sepChr m:val=""/>
                <m:grow/>
              </m:dPr>
              <m:e>
                <m:sSub>
                  <m:e>
                    <m:r>
                      <m:rPr>
                        <m:nor/>
                        <m:sty m:val="p"/>
                      </m:rPr>
                      <m:t>NO</m:t>
                    </m:r>
                  </m:e>
                  <m:sub>
                    <m:r>
                      <m:t>3</m:t>
                    </m:r>
                  </m:sub>
                </m:sSub>
              </m:e>
            </m:d>
          </m:e>
          <m:sub>
            <m:r>
              <m:t>2</m:t>
            </m:r>
          </m:sub>
        </m:sSub>
        <m:d>
          <m:dPr>
            <m:begChr m:val="("/>
            <m:endChr m:val=")"/>
            <m:sepChr m:val=""/>
            <m:grow/>
          </m:dPr>
          <m:e>
            <m:r>
              <m:t>a</m:t>
            </m:r>
            <m:r>
              <m:t>q</m:t>
            </m:r>
          </m:e>
        </m:d>
        <m:r>
          <m:t> </m:t>
        </m:r>
        <m:r>
          <m:rPr>
            <m:sty m:val="p"/>
          </m:rPr>
          <m:t>→</m:t>
        </m:r>
        <m:r>
          <m:t> </m:t>
        </m:r>
        <m:sSub>
          <m:e>
            <m:r>
              <m:rPr>
                <m:nor/>
                <m:sty m:val="p"/>
              </m:rPr>
              <m:t>BaSO</m:t>
            </m:r>
          </m:e>
          <m:sub>
            <m:r>
              <m:t>4</m:t>
            </m:r>
          </m:sub>
        </m:sSub>
        <m:d>
          <m:dPr>
            <m:begChr m:val="("/>
            <m:endChr m:val=")"/>
            <m:sepChr m:val=""/>
            <m:grow/>
          </m:dPr>
          <m:e>
            <m:r>
              <m:t>s</m:t>
            </m:r>
          </m:e>
        </m:d>
        <m:r>
          <m:rPr>
            <m:sty m:val="p"/>
          </m:rPr>
          <m:t>+</m:t>
        </m:r>
        <m:r>
          <m:rPr>
            <m:nor/>
            <m:sty m:val="p"/>
          </m:rPr>
          <m:t>Mg</m:t>
        </m:r>
        <m:sSub>
          <m:e>
            <m:d>
              <m:dPr>
                <m:begChr m:val="("/>
                <m:endChr m:val=")"/>
                <m:sepChr m:val=""/>
                <m:grow/>
              </m:dPr>
              <m:e>
                <m:sSub>
                  <m:e>
                    <m:r>
                      <m:rPr>
                        <m:nor/>
                        <m:sty m:val="p"/>
                      </m:rPr>
                      <m:t>NO</m:t>
                    </m:r>
                  </m:e>
                  <m:sub>
                    <m:r>
                      <m:t>3</m:t>
                    </m:r>
                  </m:sub>
                </m:sSub>
              </m:e>
            </m:d>
          </m:e>
          <m:sub>
            <m:r>
              <m:t>2</m:t>
            </m:r>
          </m:sub>
        </m:sSub>
        <m:d>
          <m:dPr>
            <m:begChr m:val="("/>
            <m:endChr m:val=")"/>
            <m:sepChr m:val=""/>
            <m:grow/>
          </m:dPr>
          <m:e>
            <m:r>
              <m:t>a</m:t>
            </m:r>
            <m:r>
              <m:t>q</m:t>
            </m:r>
          </m:e>
        </m:d>
      </m:oMath>
    </w:p>
    <w:bookmarkEnd w:id="56"/>
    <w:p>
      <w:pPr>
        <w:pStyle w:val="NoteExampleGrey"/>
      </w:pPr>
      <w:r>
        <w:t xml:space="preserve">Hver er styrkur (massaprósenta) MgSO</w:t>
      </w:r>
      <w:r>
        <w:rPr>
          <w:vertAlign w:val="subscript"/>
        </w:rPr>
        <w:t>4</w:t>
      </w:r>
      <w:r>
        <w:t xml:space="preserve"> í efnablöndunni?</w:t>
      </w:r>
    </w:p>
    <w:p>
      <w:pPr>
        <w:pStyle w:val="Heading4Grey"/>
      </w:pPr>
      <w:r>
        <w:t>Lausn</w:t>
      </w:r>
    </w:p>
    <w:p>
      <w:pPr>
        <w:pStyle w:val="NoteExampleGrey"/>
      </w:pPr>
      <w:r>
        <w:t xml:space="preserve">Áætlunin fyrir þennan útreikning er svipuð öðrum sem notaðir eru í hlutfallaefnafræðilegum útreikningum, þar sem aðalatriðið er tengingin milli móla BaSO</w:t>
      </w:r>
      <w:r>
        <w:rPr>
          <w:vertAlign w:val="subscript"/>
        </w:rPr>
        <w:t>4</w:t>
      </w:r>
      <w:r>
        <w:t xml:space="preserve"> og MgSO</w:t>
      </w:r>
      <w:r>
        <w:rPr>
          <w:vertAlign w:val="subscript"/>
        </w:rPr>
        <w:t>4</w:t>
      </w:r>
      <w:r>
        <w:t xml:space="preserve"> í gegnum hlutfallsstuðul þeirra. Þegar massi MgSO</w:t>
      </w:r>
      <w:r>
        <w:rPr>
          <w:vertAlign w:val="subscript"/>
        </w:rPr>
        <w:t>4</w:t>
      </w:r>
      <w:r>
        <w:t xml:space="preserve"> hefur verið reiknaður út má nota hann ásamt massa sýnisblöndunnar til að reikna út umbeðinn styrk í prósentum. </w:t>
      </w:r>
      <w:bookmarkStart w:id="60" w:name="fs-idp125565328"/>
      <w:r>
        <w:t xml:space="preserve"> </w:t>
        <w:drawing>
          <wp:inline>
            <wp:extent cx="4572000" cy="2157984"/>
            <wp:effectExtent b="0" l="0" r="0" t="0"/>
            <wp:docPr descr="This figure shows five rectangles. The first is shaded yellow and is labeled “Mass of B a S O subscript 4.” This rectangle is followed by an arrow pointing right to a second rectangle. The arrow is labeled, “Molar mass.” The second rectangle is shaded pink and is labeled, “Moles of B a S O subscript 4.” This rectangle is followed by an arrow pointing right to a third rectangle. The arrow is labeled, “Stoichiometric factor.” This third rectangle is shaded pink and is labeled, “Moles of M g S O subscript 4.” This rectangle is followed by an arrow labeled, “Molar mass,” which points downward to a fourth rectangle. This fourth rectangle is shaded yellow and is labeled, “Mass of M g S O subscript 4.” This rectangle is followed by an arrow labeled, “Sample mass,” which points left to a fifth rectangle. This fifth rectangle is shaded lavender and is labeled, “Percent M g S O subscript 4." title="" id="58" name="Picture"/>
            <a:graphic>
              <a:graphicData uri="http://schemas.openxmlformats.org/drawingml/2006/picture">
                <pic:pic>
                  <pic:nvPicPr>
                    <pic:cNvPr descr="../resources/ebfcce1423c6216075c3af512f02611a80e43afe" id="59" name="Picture"/>
                    <pic:cNvPicPr>
                      <a:picLocks noChangeArrowheads="1" noChangeAspect="1"/>
                    </pic:cNvPicPr>
                  </pic:nvPicPr>
                  <pic:blipFill>
                    <a:blip r:embed="rId57"/>
                    <a:stretch>
                      <a:fillRect/>
                    </a:stretch>
                  </pic:blipFill>
                  <pic:spPr bwMode="auto">
                    <a:xfrm>
                      <a:off x="0" y="0"/>
                      <a:ext cx="4572000" cy="2157984"/>
                    </a:xfrm>
                    <a:prstGeom prst="rect">
                      <a:avLst/>
                    </a:prstGeom>
                    <a:noFill/>
                    <a:ln w="9525">
                      <a:noFill/>
                      <a:headEnd/>
                      <a:tailEnd/>
                    </a:ln>
                  </pic:spPr>
                </pic:pic>
              </a:graphicData>
            </a:graphic>
          </wp:inline>
        </w:drawing>
        <w:t xml:space="preserve"> </w:t>
      </w:r>
      <w:bookmarkEnd w:id="60"/>
    </w:p>
    <w:p>
      <w:pPr>
        <w:pStyle w:val="NoteExampleGrey"/>
      </w:pPr>
      <w:r>
        <w:t xml:space="preserve">Massi MgSO</w:t>
      </w:r>
      <w:r>
        <w:rPr>
          <w:vertAlign w:val="subscript"/>
        </w:rPr>
        <w:t>4</w:t>
      </w:r>
      <w:r>
        <w:t xml:space="preserve"> sem myndi gefa uppgefinn massa botnfalls er</w:t>
      </w:r>
    </w:p>
    <w:bookmarkStart w:id="61" w:name="fs-idp54876688"/>
    <w:p>
      <w:pPr>
        <w:pStyle w:val="NoteExampleGrey"/>
      </w:pPr>
      <m:oMath>
        <m:r>
          <m:t>0.6168</m:t>
        </m:r>
        <m:r>
          <m:t> </m:t>
        </m:r>
        <m:sSub>
          <m:e>
            <m:r>
              <m:rPr>
                <m:nor/>
                <m:sty m:val="p"/>
              </m:rPr>
              <m:t>g BaSO</m:t>
            </m:r>
          </m:e>
          <m:sub>
            <m:r>
              <m:t>4</m:t>
            </m:r>
          </m:sub>
        </m:sSub>
        <m:r>
          <m:t> </m:t>
        </m:r>
        <m:r>
          <m:rPr>
            <m:sty m:val="p"/>
          </m:rPr>
          <m:t>×</m:t>
        </m:r>
        <m:r>
          <m:t> </m:t>
        </m:r>
        <m:f>
          <m:fPr>
            <m:type m:val="bar"/>
          </m:fPr>
          <m:num>
            <m:r>
              <m:t>1</m:t>
            </m:r>
            <m:r>
              <m:t> </m:t>
            </m:r>
            <m:sSub>
              <m:e>
                <m:r>
                  <m:rPr>
                    <m:nor/>
                    <m:sty m:val="p"/>
                  </m:rPr>
                  <m:t>mol BaSO</m:t>
                </m:r>
              </m:e>
              <m:sub>
                <m:r>
                  <m:t>4</m:t>
                </m:r>
              </m:sub>
            </m:sSub>
          </m:num>
          <m:den>
            <m:r>
              <m:t>233.43</m:t>
            </m:r>
            <m:r>
              <m:t> </m:t>
            </m:r>
            <m:sSub>
              <m:e>
                <m:r>
                  <m:rPr>
                    <m:nor/>
                    <m:sty m:val="p"/>
                  </m:rPr>
                  <m:t>g BaSO</m:t>
                </m:r>
              </m:e>
              <m:sub>
                <m:r>
                  <m:t>4</m:t>
                </m:r>
              </m:sub>
            </m:sSub>
          </m:den>
        </m:f>
        <m:r>
          <m:t> </m:t>
        </m:r>
        <m:r>
          <m:rPr>
            <m:sty m:val="p"/>
          </m:rPr>
          <m:t>×</m:t>
        </m:r>
        <m:r>
          <m:t> </m:t>
        </m:r>
        <m:f>
          <m:fPr>
            <m:type m:val="bar"/>
          </m:fPr>
          <m:num>
            <m:r>
              <m:t>1</m:t>
            </m:r>
            <m:r>
              <m:t> </m:t>
            </m:r>
            <m:sSub>
              <m:e>
                <m:r>
                  <m:rPr>
                    <m:nor/>
                    <m:sty m:val="p"/>
                  </m:rPr>
                  <m:t>mol MgSO</m:t>
                </m:r>
              </m:e>
              <m:sub>
                <m:r>
                  <m:t>4</m:t>
                </m:r>
              </m:sub>
            </m:sSub>
          </m:num>
          <m:den>
            <m:r>
              <m:t>1</m:t>
            </m:r>
            <m:r>
              <m:t> </m:t>
            </m:r>
            <m:sSub>
              <m:e>
                <m:r>
                  <m:rPr>
                    <m:nor/>
                    <m:sty m:val="p"/>
                  </m:rPr>
                  <m:t>mol BaSO</m:t>
                </m:r>
              </m:e>
              <m:sub>
                <m:r>
                  <m:t>4</m:t>
                </m:r>
              </m:sub>
            </m:sSub>
          </m:den>
        </m:f>
        <m:r>
          <m:t> </m:t>
        </m:r>
        <m:r>
          <m:rPr>
            <m:sty m:val="p"/>
          </m:rPr>
          <m:t>×</m:t>
        </m:r>
        <m:r>
          <m:t> </m:t>
        </m:r>
        <m:f>
          <m:fPr>
            <m:type m:val="bar"/>
          </m:fPr>
          <m:num>
            <m:r>
              <m:t>120.37</m:t>
            </m:r>
            <m:r>
              <m:t> </m:t>
            </m:r>
            <m:sSub>
              <m:e>
                <m:r>
                  <m:rPr>
                    <m:nor/>
                    <m:sty m:val="p"/>
                  </m:rPr>
                  <m:t>g MgSO</m:t>
                </m:r>
              </m:e>
              <m:sub>
                <m:r>
                  <m:t>4</m:t>
                </m:r>
              </m:sub>
            </m:sSub>
          </m:num>
          <m:den>
            <m:r>
              <m:t>1</m:t>
            </m:r>
            <m:r>
              <m:t> </m:t>
            </m:r>
            <m:sSub>
              <m:e>
                <m:r>
                  <m:rPr>
                    <m:nor/>
                    <m:sty m:val="p"/>
                  </m:rPr>
                  <m:t>mol MgSO</m:t>
                </m:r>
              </m:e>
              <m:sub>
                <m:r>
                  <m:t>4</m:t>
                </m:r>
              </m:sub>
            </m:sSub>
          </m:den>
        </m:f>
        <m:r>
          <m:t> </m:t>
        </m:r>
        <m:r>
          <m:rPr>
            <m:sty m:val="p"/>
          </m:rPr>
          <m:t>=</m:t>
        </m:r>
        <m:r>
          <m:t>0.3181</m:t>
        </m:r>
        <m:r>
          <m:t> </m:t>
        </m:r>
        <m:sSub>
          <m:e>
            <m:r>
              <m:rPr>
                <m:nor/>
                <m:sty m:val="p"/>
              </m:rPr>
              <m:t>g MgSO</m:t>
            </m:r>
          </m:e>
          <m:sub>
            <m:r>
              <m:t>4</m:t>
            </m:r>
          </m:sub>
        </m:sSub>
      </m:oMath>
    </w:p>
    <w:bookmarkEnd w:id="61"/>
    <w:p>
      <w:pPr>
        <w:pStyle w:val="NoteExampleGrey"/>
      </w:pPr>
      <w:r>
        <w:t xml:space="preserve">Styrkur MgSO</w:t>
      </w:r>
      <w:r>
        <w:rPr>
          <w:vertAlign w:val="subscript"/>
        </w:rPr>
        <w:t>4</w:t>
      </w:r>
      <w:r>
        <w:t xml:space="preserve"> í sýnisblöndunni er þá reiknaður sem</w:t>
      </w:r>
    </w:p>
    <w:bookmarkStart w:id="65" w:name="fs-idp13640592"/>
    <w:p>
      <w:pPr>
        <w:pStyle w:val="NoteExampleGrey"/>
      </w:pPr>
      <w:r>
        <w:drawing>
          <wp:inline>
            <wp:extent cx="2428875" cy="704850"/>
            <wp:effectExtent b="0" l="0" r="0" t="0"/>
            <wp:docPr descr="None" title="" id="63" name="Picture"/>
            <a:graphic>
              <a:graphicData uri="http://schemas.openxmlformats.org/drawingml/2006/picture">
                <pic:pic>
                  <pic:nvPicPr>
                    <pic:cNvPr descr="../resources/6e1ba74617fbe59e43d5933e69611547bb8965b9" id="64" name="Picture"/>
                    <pic:cNvPicPr>
                      <a:picLocks noChangeArrowheads="1" noChangeAspect="1"/>
                    </pic:cNvPicPr>
                  </pic:nvPicPr>
                  <pic:blipFill>
                    <a:blip r:embed="rId62"/>
                    <a:stretch>
                      <a:fillRect/>
                    </a:stretch>
                  </pic:blipFill>
                  <pic:spPr bwMode="auto">
                    <a:xfrm>
                      <a:off x="0" y="0"/>
                      <a:ext cx="2428875" cy="704850"/>
                    </a:xfrm>
                    <a:prstGeom prst="rect">
                      <a:avLst/>
                    </a:prstGeom>
                    <a:noFill/>
                    <a:ln w="9525">
                      <a:noFill/>
                      <a:headEnd/>
                      <a:tailEnd/>
                    </a:ln>
                  </pic:spPr>
                </pic:pic>
              </a:graphicData>
            </a:graphic>
          </wp:inline>
        </w:drawing>
      </w:r>
    </w:p>
    <w:bookmarkEnd w:id="65"/>
    <w:p>
      <w:pPr>
        <w:pStyle w:val="Heading4Grey"/>
      </w:pPr>
      <w:r>
        <w:t xml:space="preserve">Prófaðu þekkingu þína</w:t>
      </w:r>
    </w:p>
    <w:p>
      <w:pPr>
        <w:pStyle w:val="NoteExampleGrey"/>
      </w:pPr>
      <w:r>
        <w:t xml:space="preserve">Hver er prósenta klóríðjónar í sýni ef 1,1324 g af sýninu myndar 1,0881 g af AgCl þegar það er meðhöndlað með umfram-Ag</w:t>
      </w:r>
      <w:r>
        <w:rPr>
          <w:vertAlign w:val="superscript"/>
        </w:rPr>
        <w:t>+</w:t>
      </w:r>
      <w:r>
        <w:t>?</w:t>
      </w:r>
    </w:p>
    <w:bookmarkStart w:id="66" w:name="fs-idm30894128"/>
    <w:p>
      <w:pPr>
        <w:pStyle w:val="NoteExampleGrey"/>
      </w:pPr>
      <m:oMath>
        <m:sSup>
          <m:e>
            <m:r>
              <m:rPr>
                <m:nor/>
                <m:sty m:val="p"/>
              </m:rPr>
              <m:t>Ag</m:t>
            </m:r>
          </m:e>
          <m:sup>
            <m:r>
              <m:rPr>
                <m:nor/>
                <m:sty m:val="p"/>
              </m:rPr>
              <m:t>+</m:t>
            </m:r>
          </m:sup>
        </m:sSup>
        <m:d>
          <m:dPr>
            <m:begChr m:val="("/>
            <m:endChr m:val=")"/>
            <m:sepChr m:val=""/>
            <m:grow/>
          </m:dPr>
          <m:e>
            <m:r>
              <m:t>a</m:t>
            </m:r>
            <m:r>
              <m:t>q</m:t>
            </m:r>
          </m:e>
        </m:d>
        <m:r>
          <m:rPr>
            <m:sty m:val="p"/>
          </m:rPr>
          <m:t>+</m:t>
        </m:r>
        <m:sSup>
          <m:e>
            <m:r>
              <m:rPr>
                <m:nor/>
                <m:sty m:val="p"/>
              </m:rPr>
              <m:t>Cl</m:t>
            </m:r>
          </m:e>
          <m:sup>
            <m:r>
              <m:rPr>
                <m:nor/>
                <m:sty m:val="p"/>
              </m:rPr>
              <m:t>−</m:t>
            </m:r>
          </m:sup>
        </m:sSup>
        <m:d>
          <m:dPr>
            <m:begChr m:val="("/>
            <m:endChr m:val=")"/>
            <m:sepChr m:val=""/>
            <m:grow/>
          </m:dPr>
          <m:e>
            <m:r>
              <m:t>a</m:t>
            </m:r>
            <m:r>
              <m:t>q</m:t>
            </m:r>
          </m:e>
        </m:d>
        <m:r>
          <m:t> </m:t>
        </m:r>
        <m:r>
          <m:rPr>
            <m:sty m:val="p"/>
          </m:rPr>
          <m:t>→</m:t>
        </m:r>
        <m:r>
          <m:t> </m:t>
        </m:r>
        <m:r>
          <m:rPr>
            <m:nor/>
            <m:sty m:val="p"/>
          </m:rPr>
          <m:t>AgCl</m:t>
        </m:r>
        <m:d>
          <m:dPr>
            <m:begChr m:val="("/>
            <m:endChr m:val=")"/>
            <m:sepChr m:val=""/>
            <m:grow/>
          </m:dPr>
          <m:e>
            <m:r>
              <m:t>s</m:t>
            </m:r>
          </m:e>
        </m:d>
      </m:oMath>
    </w:p>
    <w:bookmarkEnd w:id="66"/>
    <w:bookmarkStart w:id="67" w:name="fs-idp183806096"/>
    <w:p>
      <w:pPr>
        <w:pStyle w:val="Heading3Grey"/>
      </w:pPr>
      <w:r>
        <w:t>Svar:</w:t>
      </w:r>
    </w:p>
    <w:p>
      <w:pPr>
        <w:pStyle w:val="NoteExampleGrey"/>
      </w:pPr>
      <w:r>
        <w:t>23,76%</w:t>
      </w:r>
    </w:p>
    <w:bookmarkEnd w:id="67"/>
    <w:bookmarkEnd w:id="68"/>
    <w:p>
      <w:pPr>
        <w:pStyle w:val="TextBody"/>
      </w:pPr>
      <w:r>
        <w:t xml:space="preserve">Frumefnasamsetningu kolvetna og skyldra efnasambanda má ákvarða með þyngdarmælingaraðferð sem kallast </w:t>
      </w:r>
      <w:bookmarkStart w:id="69" w:name="term-00010"/>
      <w:r>
        <w:t>brunagreining</w:t>
      </w:r>
      <w:bookmarkEnd w:id="69"/>
      <w:r>
        <w:t xml:space="preserve">. Í brunagreiningu er vegið sýni af efnasambandinu hitað að háu hitastigi undir straumi af súrefnisgasi, sem leiðir til fullkomins bruna þess og myndar gasmyndefni með þekkt auðkenni. Fullkominn bruni kolvetna, til dæmis, mun skila koldíoxíði og vatni sem einu myndefnunum. Gasmyndefnin úr brunanum eru leidd í gegnum aðskilin, fyrirfram vegin söfnunartæki sem innihalda efnasambönd sem aðsoga sértækt hvert myndefni (</w:t>
      </w:r>
      <w:hyperlink w:anchor="CNX_Chem_04_05_combustion">
        <w:r>
          <w:rPr>
            <w:rStyle w:val="InternetLink"/>
          </w:rPr>
          <w:t xml:space="preserve">mynd 4.18</w:t>
        </w:r>
      </w:hyperlink>
      <w:r>
        <w:t xml:space="preserve">). Massaaukning hvers tækis samsvarar massa aðsogaða myndefnisins og má nota í viðeigandi hlutfallaefnafræðilegum útreikningi til að leiða út massa viðkomandi frumefnis.</w:t>
      </w:r>
    </w:p>
    <w:tbl>
      <w:tblPr>
        <w:tblStyle w:val="FigureTable"/>
        <w:tblW w:type="auto" w:w="0"/>
        <w:tblLook w:firstRow="0" w:lastRow="0" w:firstColumn="0" w:lastColumn="0"/>
        <w:jc w:val="center"/>
      </w:tblPr>
      <w:tblGrid>
        <w:gridCol w:w="7920"/>
      </w:tblGrid>
      <w:tr>
        <w:tc>
          <w:tcPr/>
          <w:p>
            <w:pPr>
              <w:pStyle w:val="Compact"/>
              <w:jc w:val="center"/>
            </w:pPr>
            <w:bookmarkStart w:id="73" w:name="fs-idp46838688"/>
            <w:r>
              <w:t xml:space="preserve"> </w:t>
              <w:drawing>
                <wp:inline>
                  <wp:extent cx="5943600" cy="1467612"/>
                  <wp:effectExtent b="0" l="0" r="0" t="0"/>
                  <wp:docPr descr="This diagram shows an arrow pointing from O subscript 2 into a tube that leads into a vessel containing a red material, labeled “Sample.” This vessel is inside a blue container with a red inner lining which is labeled “Furnace.” An arrow points from the tube to the right into the vessel above the red sample material. An arrow leads out of this vessel through a tube into a second vessel outside the furnace. An line points from this tube to a label above the diagram that reads “C O subscript 2, H subscript 2 O, O subscript 2, and other gases.” Many small green spheres are visible in the second vessel which is labeled below, “H subscript 2 O absorber such as M g ( C l O subscript 4 ) subscript 2.” An arrow points to the right through the vessel, and another arrow points right heading out of the vessel through a tube into a third vessel. The third vessel contains many small blue spheres. It is labeled “C O subscript 2 absorber such as N a O H.” An arrow points right through this vessel, and a final arrow points out of a tube at the right end of the vessel. Outside the end of this tube at the end of the arrow is the label, “O subscript 2 and other gases.”" title="" id="71" name="Picture"/>
                  <a:graphic>
                    <a:graphicData uri="http://schemas.openxmlformats.org/drawingml/2006/picture">
                      <pic:pic>
                        <pic:nvPicPr>
                          <pic:cNvPr descr="../resources/746ff25cd4f004045ebefc2204971e46f3349d56" id="72" name="Picture"/>
                          <pic:cNvPicPr>
                            <a:picLocks noChangeArrowheads="1" noChangeAspect="1"/>
                          </pic:cNvPicPr>
                        </pic:nvPicPr>
                        <pic:blipFill>
                          <a:blip r:embed="rId70"/>
                          <a:stretch>
                            <a:fillRect/>
                          </a:stretch>
                        </pic:blipFill>
                        <pic:spPr bwMode="auto">
                          <a:xfrm>
                            <a:off x="0" y="0"/>
                            <a:ext cx="5943600" cy="1467612"/>
                          </a:xfrm>
                          <a:prstGeom prst="rect">
                            <a:avLst/>
                          </a:prstGeom>
                          <a:noFill/>
                          <a:ln w="9525">
                            <a:noFill/>
                            <a:headEnd/>
                            <a:tailEnd/>
                          </a:ln>
                        </pic:spPr>
                      </pic:pic>
                    </a:graphicData>
                  </a:graphic>
                </wp:inline>
              </w:drawing>
              <w:t xml:space="preserve"> </w:t>
            </w:r>
            <w:bookmarkEnd w:id="73"/>
          </w:p>
        </w:tc>
      </w:tr>
    </w:tbl>
    <w:p>
      <w:pPr>
        <w:pStyle w:val="TextBody"/>
      </w:pPr>
      <w:r>
        <w:t xml:space="preserve">Mynd  4.18   Þessi skýringarmynd sýnir grunnhluta brunagreiningartækis til að ákvarða kolefnis- og vetnisinnihald sýnis.</w:t>
      </w:r>
    </w:p>
    <w:bookmarkStart w:id="85" w:name="fs-idp72915680"/>
    <w:p>
      <w:pPr>
        <w:pStyle w:val="Heading3Grey"/>
      </w:pPr>
      <w:r>
        <w:t xml:space="preserve">Dæmi  4.16  </w:t>
      </w:r>
    </w:p>
    <w:p>
      <w:pPr>
        <w:pStyle w:val="Heading4Grey"/>
      </w:pPr>
      <w:r>
        <w:t>Brunagreining</w:t>
      </w:r>
    </w:p>
    <w:p>
      <w:pPr>
        <w:pStyle w:val="NoteExampleGrey"/>
      </w:pPr>
      <w:r>
        <w:t xml:space="preserve">Pólýetýlen er kolvetnisfjölliða sem notuð er til að framleiða matargeymslupoka og marga aðra sveigjanlega plasthluti. Brunagreining á 0,00126 g sýni af pólýetýleni skilar 0,00394 g af CO</w:t>
      </w:r>
      <w:r>
        <w:rPr>
          <w:vertAlign w:val="subscript"/>
        </w:rPr>
        <w:t>2</w:t>
      </w:r>
      <w:r>
        <w:t xml:space="preserve"> og 0,00161 g af H</w:t>
      </w:r>
      <w:r>
        <w:rPr>
          <w:vertAlign w:val="subscript"/>
        </w:rPr>
        <w:t>2</w:t>
      </w:r>
      <w:r>
        <w:t xml:space="preserve">O. Hver er reynsluformúla pólýetýlens?</w:t>
      </w:r>
    </w:p>
    <w:p>
      <w:pPr>
        <w:pStyle w:val="Heading4Grey"/>
      </w:pPr>
      <w:r>
        <w:t>Lausn</w:t>
      </w:r>
    </w:p>
    <w:p>
      <w:pPr>
        <w:pStyle w:val="NoteExampleGrey"/>
      </w:pPr>
      <w:r>
        <w:t xml:space="preserve">Meginforsendan í þessu verkefni er sú að allt kolefni í sýninu sem brennt er breytist í koldíoxíð og allt vetni í sýninu breytist í vatn:</w:t>
      </w:r>
    </w:p>
    <w:bookmarkStart w:id="74" w:name="fs-idp26802128"/>
    <w:p>
      <w:pPr>
        <w:pStyle w:val="NoteExampleGrey"/>
      </w:pPr>
      <m:oMath>
        <m:sSub>
          <m:e>
            <m:r>
              <m:rPr>
                <m:nor/>
                <m:sty m:val="p"/>
              </m:rPr>
              <m:t>C</m:t>
            </m:r>
          </m:e>
          <m:sub>
            <m:r>
              <m:rPr>
                <m:nor/>
                <m:sty m:val="p"/>
              </m:rPr>
              <m:t>x</m:t>
            </m:r>
          </m:sub>
        </m:sSub>
        <m:sSub>
          <m:e>
            <m:r>
              <m:rPr>
                <m:nor/>
                <m:sty m:val="p"/>
              </m:rPr>
              <m:t>H</m:t>
            </m:r>
          </m:e>
          <m:sub>
            <m:r>
              <m:rPr>
                <m:nor/>
                <m:sty m:val="p"/>
              </m:rPr>
              <m:t>y</m:t>
            </m:r>
          </m:sub>
        </m:sSub>
        <m:d>
          <m:dPr>
            <m:begChr m:val="("/>
            <m:endChr m:val=")"/>
            <m:sepChr m:val=""/>
            <m:grow/>
          </m:dPr>
          <m:e>
            <m:r>
              <m:t>s</m:t>
            </m:r>
          </m:e>
        </m:d>
        <m:r>
          <m:rPr>
            <m:sty m:val="p"/>
          </m:rPr>
          <m:t>+</m:t>
        </m:r>
        <m:r>
          <m:t> </m:t>
        </m:r>
        <m:sSub>
          <m:e>
            <m:r>
              <m:rPr>
                <m:nor/>
                <m:sty m:val="p"/>
              </m:rPr>
              <m:t>excess O</m:t>
            </m:r>
          </m:e>
          <m:sub>
            <m:r>
              <m:t>2</m:t>
            </m:r>
          </m:sub>
        </m:sSub>
        <m:d>
          <m:dPr>
            <m:begChr m:val="("/>
            <m:endChr m:val=")"/>
            <m:sepChr m:val=""/>
            <m:grow/>
          </m:dPr>
          <m:e>
            <m:r>
              <m:t>g</m:t>
            </m:r>
          </m:e>
        </m:d>
        <m:r>
          <m:t> </m:t>
        </m:r>
        <m:r>
          <m:rPr>
            <m:sty m:val="p"/>
          </m:rPr>
          <m:t>→</m:t>
        </m:r>
        <m:r>
          <m:t> </m:t>
        </m:r>
        <m:r>
          <m:t>x</m:t>
        </m:r>
        <m:sSub>
          <m:e>
            <m:r>
              <m:rPr>
                <m:nor/>
                <m:sty m:val="p"/>
              </m:rPr>
              <m:t>CO</m:t>
            </m:r>
          </m:e>
          <m:sub>
            <m:r>
              <m:t>2</m:t>
            </m:r>
          </m:sub>
        </m:sSub>
        <m:d>
          <m:dPr>
            <m:begChr m:val="("/>
            <m:endChr m:val=")"/>
            <m:sepChr m:val=""/>
            <m:grow/>
          </m:dPr>
          <m:e>
            <m:r>
              <m:t>g</m:t>
            </m:r>
          </m:e>
        </m:d>
        <m:r>
          <m:rPr>
            <m:sty m:val="p"/>
          </m:rPr>
          <m:t>+</m:t>
        </m:r>
        <m:f>
          <m:fPr>
            <m:type m:val="bar"/>
          </m:fPr>
          <m:num>
            <m:r>
              <m:t>y</m:t>
            </m:r>
          </m:num>
          <m:den>
            <m:r>
              <m:t>2</m:t>
            </m:r>
          </m:den>
        </m:f>
        <m:sSub>
          <m:e>
            <m:r>
              <m:rPr>
                <m:nor/>
                <m:sty m:val="p"/>
              </m:rPr>
              <m:t>H</m:t>
            </m:r>
          </m:e>
          <m:sub>
            <m:r>
              <m:t>2</m:t>
            </m:r>
          </m:sub>
        </m:sSub>
        <m:r>
          <m:rPr>
            <m:nor/>
            <m:sty m:val="p"/>
          </m:rPr>
          <m:t>O</m:t>
        </m:r>
        <m:d>
          <m:dPr>
            <m:begChr m:val="("/>
            <m:endChr m:val=")"/>
            <m:sepChr m:val=""/>
            <m:grow/>
          </m:dPr>
          <m:e>
            <m:r>
              <m:t>g</m:t>
            </m:r>
          </m:e>
        </m:d>
      </m:oMath>
    </w:p>
    <w:bookmarkEnd w:id="74"/>
    <w:p>
      <w:pPr>
        <w:pStyle w:val="NoteExampleGrey"/>
      </w:pPr>
      <w:r>
        <w:t xml:space="preserve">Athugaðu að stillt efnajafna er ekki nauðsynleg fyrir verkefnið. Til að leiða út reynsluformúlu efnasambandsins þarf aðeins lágvísana </w:t>
      </w:r>
      <w:r>
        <w:rPr>
          <w:i/>
        </w:rPr>
        <w:t>x</w:t>
      </w:r>
      <w:r>
        <w:t xml:space="preserve"> og </w:t>
      </w:r>
      <w:r>
        <w:rPr>
          <w:i/>
        </w:rPr>
        <w:t>y</w:t>
      </w:r>
      <w:r>
        <w:t>.</w:t>
      </w:r>
    </w:p>
    <w:p>
      <w:pPr>
        <w:pStyle w:val="NoteExampleGrey"/>
      </w:pPr>
      <w:r>
        <w:t xml:space="preserve">Fyrst skal reikna mólmagn kolefnis og vetnis í sýninu með því að nota uppgefinn massa koldíoxíðs og vatns. Með þessu mólmagni má skrifa reynsluformúlu efnasambandsins eins og lýst er í fyrri kafla þessarar bókar. Yfirlit yfir þessa aðferð er sýnt í eftirfarandi flæðiriti:</w:t>
      </w:r>
    </w:p>
    <w:p>
      <w:pPr>
        <w:pStyle w:val="NoteExampleGrey"/>
      </w:pPr>
      <w:bookmarkStart w:id="78" w:name="fs-idp22371728"/>
      <w:r>
        <w:t xml:space="preserve"> </w:t>
        <w:drawing>
          <wp:inline>
            <wp:extent cx="4572000" cy="3442716"/>
            <wp:effectExtent b="0" l="0" r="0" t="0"/>
            <wp:docPr descr="This figure shows two flowcharts. The first row is a single flow chart. In this row, a rectangle at the left is shaded yellow and is labeled, “Mass of C O subscript 2.” This rectangle is followed by an arrow pointing right to a second rectangle. The arrow is labeled, “Molar mass.” The second rectangle is shaded pink and is labeled, “Moles of C O subscript 2.” This rectangle is followed by an arrow pointing right to a third rectangle. The arrow is labeled, “Stoichiometric factor.” The third rectangle is shaded pink and is labeled, “Moles of C.” This rectangle is followed by an arrow labeled “Molar mass” which points right to a fourth rectangle. The fourth rectangle is shaded yellow and is labeled “Mass of C.” Below, is a second flowchart. It begins with a yellow shaded rectangle on the left which is labeled, “Mass of H subscript 2 O.” This rectangle is followed by an arrow labeled, “Molar mass,” which points right to a second rectangle. The second rectangle is shaded pink and is labeled, “Moles of H subscript 2 O.” This rectangle is followed by an arrow pointing right to a third rectangle. The arrow is labeled, “Stoichiometric factor.” The third rectangle is shaded pink and is labeled “Moles of H.” This rectangle is followed to the right by an arrow labeled, “Molar mass,” which points to a fourth rectangle. The fourth rectangle is shaded yellow and is labeled “Mass of H.” An arrow labeled, “Sample mass” points down beneath this rectangle to a green shaded rectangle. This rectangle is labeled, “Percent composition.” An arrow extends beneath the pink rectangle labeled, “Moles of H,” to a green shaded rectangle labeled, “C to H mole ratio.” Beneath this rectangle, an arrow extends to a second green shaded rectangle which is labeled, “Empirical formula.”" title="" id="76" name="Picture"/>
            <a:graphic>
              <a:graphicData uri="http://schemas.openxmlformats.org/drawingml/2006/picture">
                <pic:pic>
                  <pic:nvPicPr>
                    <pic:cNvPr descr="../resources/9c91f8ec1e871da708b6cc79d7a030f8be954205" id="77" name="Picture"/>
                    <pic:cNvPicPr>
                      <a:picLocks noChangeArrowheads="1" noChangeAspect="1"/>
                    </pic:cNvPicPr>
                  </pic:nvPicPr>
                  <pic:blipFill>
                    <a:blip r:embed="rId75"/>
                    <a:stretch>
                      <a:fillRect/>
                    </a:stretch>
                  </pic:blipFill>
                  <pic:spPr bwMode="auto">
                    <a:xfrm>
                      <a:off x="0" y="0"/>
                      <a:ext cx="4572000" cy="3442716"/>
                    </a:xfrm>
                    <a:prstGeom prst="rect">
                      <a:avLst/>
                    </a:prstGeom>
                    <a:noFill/>
                    <a:ln w="9525">
                      <a:noFill/>
                      <a:headEnd/>
                      <a:tailEnd/>
                    </a:ln>
                  </pic:spPr>
                </pic:pic>
              </a:graphicData>
            </a:graphic>
          </wp:inline>
        </w:drawing>
        <w:t xml:space="preserve"> </w:t>
      </w:r>
      <w:bookmarkEnd w:id="78"/>
    </w:p>
    <w:bookmarkStart w:id="82" w:name="fs-idp216199216"/>
    <w:p>
      <w:pPr>
        <w:pStyle w:val="NoteExampleGrey"/>
      </w:pPr>
      <w:r>
        <w:drawing>
          <wp:inline>
            <wp:extent cx="4467225" cy="695325"/>
            <wp:effectExtent b="0" l="0" r="0" t="0"/>
            <wp:docPr descr="None" title="" id="80" name="Picture"/>
            <a:graphic>
              <a:graphicData uri="http://schemas.openxmlformats.org/drawingml/2006/picture">
                <pic:pic>
                  <pic:nvPicPr>
                    <pic:cNvPr descr="../resources/a73eb69982dc817c6f723d79c443df0b9567d6e9" id="81" name="Picture"/>
                    <pic:cNvPicPr>
                      <a:picLocks noChangeArrowheads="1" noChangeAspect="1"/>
                    </pic:cNvPicPr>
                  </pic:nvPicPr>
                  <pic:blipFill>
                    <a:blip r:embed="rId79"/>
                    <a:stretch>
                      <a:fillRect/>
                    </a:stretch>
                  </pic:blipFill>
                  <pic:spPr bwMode="auto">
                    <a:xfrm>
                      <a:off x="0" y="0"/>
                      <a:ext cx="4467225" cy="695325"/>
                    </a:xfrm>
                    <a:prstGeom prst="rect">
                      <a:avLst/>
                    </a:prstGeom>
                    <a:noFill/>
                    <a:ln w="9525">
                      <a:noFill/>
                      <a:headEnd/>
                      <a:tailEnd/>
                    </a:ln>
                  </pic:spPr>
                </pic:pic>
              </a:graphicData>
            </a:graphic>
          </wp:inline>
        </w:drawing>
      </w:r>
    </w:p>
    <w:bookmarkEnd w:id="82"/>
    <w:p>
      <w:pPr>
        <w:pStyle w:val="NoteExampleGrey"/>
      </w:pPr>
      <w:r>
        <w:t xml:space="preserve">Reynsluformúla efnasambandsins er síðan leidd út með því að finna minnstu heiltölumargfeldi fyrir þetta mólmagn. Mólhlutfall H á móti C er</w:t>
      </w:r>
    </w:p>
    <w:bookmarkStart w:id="83" w:name="fs-idm23849536"/>
    <w:p>
      <w:pPr>
        <w:pStyle w:val="NoteExampleGrey"/>
      </w:pPr>
      <m:oMath>
        <m:f>
          <m:fPr>
            <m:type m:val="bar"/>
          </m:fPr>
          <m:num>
            <m:r>
              <m:rPr>
                <m:nor/>
                <m:sty m:val="p"/>
              </m:rPr>
              <m:t>mol H</m:t>
            </m:r>
          </m:num>
          <m:den>
            <m:r>
              <m:rPr>
                <m:nor/>
                <m:sty m:val="p"/>
              </m:rPr>
              <m:t>mol C</m:t>
            </m:r>
          </m:den>
        </m:f>
        <m:r>
          <m:t> </m:t>
        </m:r>
        <m:r>
          <m:rPr>
            <m:sty m:val="p"/>
          </m:rPr>
          <m:t>=</m:t>
        </m:r>
        <m:r>
          <m:t> </m:t>
        </m:r>
        <m:f>
          <m:fPr>
            <m:type m:val="bar"/>
          </m:fPr>
          <m:num>
            <m:r>
              <m:t>1.79</m:t>
            </m:r>
            <m:r>
              <m:t> </m:t>
            </m:r>
            <m:r>
              <m:rPr>
                <m:sty m:val="p"/>
              </m:rPr>
              <m:t>×</m:t>
            </m:r>
            <m:r>
              <m:t> </m:t>
            </m:r>
            <m:sSup>
              <m:e>
                <m:r>
                  <m:t>10</m:t>
                </m:r>
              </m:e>
              <m:sup>
                <m:r>
                  <m:rPr>
                    <m:sty m:val="p"/>
                  </m:rPr>
                  <m:t>−</m:t>
                </m:r>
                <m:r>
                  <m:t>4</m:t>
                </m:r>
              </m:sup>
            </m:sSup>
            <m:r>
              <m:t> </m:t>
            </m:r>
            <m:r>
              <m:rPr>
                <m:nor/>
                <m:sty m:val="p"/>
              </m:rPr>
              <m:t>mol H</m:t>
            </m:r>
          </m:num>
          <m:den>
            <m:r>
              <m:t>8.95</m:t>
            </m:r>
            <m:r>
              <m:t> </m:t>
            </m:r>
            <m:r>
              <m:rPr>
                <m:sty m:val="p"/>
              </m:rPr>
              <m:t>×</m:t>
            </m:r>
            <m:r>
              <m:t> </m:t>
            </m:r>
            <m:sSup>
              <m:e>
                <m:r>
                  <m:t>10</m:t>
                </m:r>
              </m:e>
              <m:sup>
                <m:r>
                  <m:rPr>
                    <m:sty m:val="p"/>
                  </m:rPr>
                  <m:t>−</m:t>
                </m:r>
                <m:r>
                  <m:t>5</m:t>
                </m:r>
              </m:sup>
            </m:sSup>
            <m:r>
              <m:t> </m:t>
            </m:r>
            <m:r>
              <m:rPr>
                <m:nor/>
                <m:sty m:val="p"/>
              </m:rPr>
              <m:t>mol C</m:t>
            </m:r>
          </m:den>
        </m:f>
        <m:r>
          <m:t> </m:t>
        </m:r>
        <m:r>
          <m:rPr>
            <m:sty m:val="p"/>
          </m:rPr>
          <m:t>=</m:t>
        </m:r>
        <m:r>
          <m:t> </m:t>
        </m:r>
        <m:f>
          <m:fPr>
            <m:type m:val="bar"/>
          </m:fPr>
          <m:num>
            <m:r>
              <m:t>2</m:t>
            </m:r>
            <m:r>
              <m:t> </m:t>
            </m:r>
            <m:r>
              <m:rPr>
                <m:nor/>
                <m:sty m:val="p"/>
              </m:rPr>
              <m:t>mol H</m:t>
            </m:r>
          </m:num>
          <m:den>
            <m:r>
              <m:t>1</m:t>
            </m:r>
            <m:r>
              <m:t> </m:t>
            </m:r>
            <m:r>
              <m:rPr>
                <m:nor/>
                <m:sty m:val="p"/>
              </m:rPr>
              <m:t>mol C</m:t>
            </m:r>
          </m:den>
        </m:f>
      </m:oMath>
    </w:p>
    <w:bookmarkEnd w:id="83"/>
    <w:p>
      <w:pPr>
        <w:pStyle w:val="NoteExampleGrey"/>
      </w:pPr>
      <w:r>
        <w:t xml:space="preserve">og reynsluformúla pólýetýlens er CH</w:t>
      </w:r>
      <w:r>
        <w:rPr>
          <w:vertAlign w:val="subscript"/>
        </w:rPr>
        <w:t>2</w:t>
      </w:r>
      <w:r>
        <w:t>.</w:t>
      </w:r>
    </w:p>
    <w:p>
      <w:pPr>
        <w:pStyle w:val="Heading4Grey"/>
      </w:pPr>
      <w:r>
        <w:t xml:space="preserve">Prófaðu þekkingu þína</w:t>
      </w:r>
    </w:p>
    <w:p>
      <w:pPr>
        <w:pStyle w:val="NoteExampleGrey"/>
      </w:pPr>
      <w:r>
        <w:t xml:space="preserve">0,00215 g sýni af pólýstýreni, fjölliðu sem samanstendur af kolefni og vetni, myndaði 0,00726 g af CO</w:t>
      </w:r>
      <w:r>
        <w:rPr>
          <w:vertAlign w:val="subscript"/>
        </w:rPr>
        <w:t>2</w:t>
      </w:r>
      <w:r>
        <w:t xml:space="preserve"> og 0,00148 g af H</w:t>
      </w:r>
      <w:r>
        <w:rPr>
          <w:vertAlign w:val="subscript"/>
        </w:rPr>
        <w:t>2</w:t>
      </w:r>
      <w:r>
        <w:t xml:space="preserve">O í brunagreiningu. Hver er reynsluformúla pólýstýrens?</w:t>
      </w:r>
    </w:p>
    <w:bookmarkStart w:id="84" w:name="fs-idm15574688"/>
    <w:p>
      <w:pPr>
        <w:pStyle w:val="Heading3Grey"/>
      </w:pPr>
      <w:r>
        <w:t>Svar:</w:t>
      </w:r>
    </w:p>
    <w:p>
      <w:pPr>
        <w:pStyle w:val="NoteExampleGrey"/>
      </w:pPr>
      <w:r>
        <w:t>CH</w:t>
      </w:r>
    </w:p>
    <w:bookmarkEnd w:id="84"/>
    <w:bookmarkEnd w:id="85"/>
    <w:bookmarkEnd w:id="86"/>
    <w:bookmarkEnd w:id="87"/>
    <w:bookmarkEnd w:id="88"/>
    <w:bookmarkEnd w:id="89"/>
    <w:sectPr>
      <w:footerReference r:id="rId9" w:type="default"/>
      <w:footnotePr>
        <w:numFmt w:val="decimal"/>
      </w:footnotePr>
      <w:type w:val="nextPage"/>
      <w:pgSz w:h="15840" w:w="12240"/>
      <w:pgMar w:bottom="1440" w:footer="720" w:gutter="0" w:header="0" w:left="1440" w:right="1440" w:top="1440"/>
      <w:pgNumType w:fmt="decimal"/>
      <w:formProt w:val="false"/>
      <w:textDirection w:val="lrTb"/>
      <w:docGrid w:charSpace="0" w:linePitch="100" w:type="default"/>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mbria">
    <w:charset w:val="01"/>
    <w:family w:val="roman"/>
    <w:pitch w:val="variable"/>
  </w:font>
  <w:font w:name="Calibri">
    <w:charset w:val="01"/>
    <w:family w:val="roman"/>
    <w:pitch w:val="variable"/>
  </w:font>
  <w:font w:name="Consolas">
    <w:charset w:val="01"/>
    <w:family w:val="roman"/>
    <w:pitch w:val="variable"/>
  </w:font>
  <w:font w:name="Liberation Sans">
    <w:altName w:val="Arial"/>
    <w:charset w:val="01"/>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p>
    <w:pPr>
      <w:pStyle w:val="Footer"/>
      <w:jc w:val="center"/>
    </w:pPr>
    <w:r>
      <w:t xml:space="preserve">Ókeypis aðgangur á </w:t>
    </w:r>
    <w:hyperlink r:id="rId1">
      <w:r>
        <w:rPr>
          <w:rStyle w:val="InternetLink"/>
        </w:rPr>
        <w:t>https://openstax.org</w:t>
      </w:r>
    </w:hyperlink>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proofState w:grammar="clean" w:spelling="clean"/>
  <w:stylePaneFormatFilter w:val="0004"/>
  <w:footnotePr>
    <w:footnote w:id="-1"/>
    <w:footnote w:id="0"/>
  </w:footnotePr>
  <w:doNotTrackMoves/>
  <w:drawingGridHorizontalSpacing w:val="360"/>
  <w:drawingGridVerticalSpacing w:val="360"/>
  <w:displayHorizontalDrawingGridEvery w:val="0"/>
  <w:displayVerticalDrawingGridEvery w:val="0"/>
  <w:characterSpacingControl w:val="doNotCompress"/>
  <w:savePreviewPicture/>
  <w:rsids>
  </w:rsids>
  <m:mathPr>
    <m:mathFont m:val="Cambria Math"/>
    <m:brkBin m:val="before"/>
    <m:brkBinSub m:val="--"/>
    <m:smallFrac m:val="0"/>
    <m:dispDef/>
    <m:lMargin m:val="0"/>
    <m:rMargin m:val="0"/>
    <m:wrapRight/>
    <m:intLim m:val="subSup"/>
    <m:naryLim m:val="undOvr"/>
  </m:mathPr>
  <w:clrSchemeMapping w:accent1="accent1" w:accent2="accent2" w:accent3="accent3" w:accent4="accent4" w:accent5="accent5" w:accent6="accent6" w:bg1="light1" w:bg2="light2" w:followedHyperlink="followedHyperlink" w:hyperlink="hyperlink" w:t1="dark1" w:t2="dark2"/>
  <w:decimalSymbol w:val="."/>
  <w:listSeparator w:val=","/>
  <w:zoom w:percent="140"/>
  <w:embedSystemFonts/>
  <w:defaultTabStop w:val="720"/>
  <w:autoHyphenation w:val="true"/>
  <w:compat>
    <w:compatSetting w:name="compatibilityMode" w:uri="http://schemas.microsoft.com/office/word" w:val="12"/>
    <w:compatSetting w:name="useWord2013TrackBottomHyphenation" w:uri="http://schemas.microsoft.com/office/word" w:val="1"/>
  </w:compat>
  <w:themeFontLang w:bidi="" w:eastAsia="ja-JP" w:val="is-IS"/>
</w:settings>
</file>

<file path=word/styles.xml><?xml version="1.0" encoding="utf-8"?>
<w:styles xmlns:mc="http://schemas.openxmlformats.org/markup-compatibility/2006" xmlns:w="http://schemas.openxmlformats.org/wordprocessingml/2006/main" xmlns:w14="http://schemas.microsoft.com/office/word/2010/wordml" mc:Ignorable="w14">
  <w:docDefaults>
    <w:pPrDefault>
      <w:pPr>
        <w:suppressAutoHyphens w:val="true"/>
      </w:pPr>
    </w:pPrDefault>
    <w:rPrDefault>
      <w:rPr>
        <w:rFonts w:ascii="Cambria" w:asciiTheme="minorHAnsi" w:hAnsi="Cambria" w:hAnsiTheme="minorHAnsi" w:cs="" w:cstheme="minorBidi" w:eastAsia="Cambria" w:eastAsiaTheme="minorHAnsi"/>
        <w:sz w:val="24"/>
      </w:rPr>
    </w:rPrDefault>
  </w:docDefaults>
  <w:latentStyles w:count="376" w:defLockedState="0" w:defQFormat="0" w:defSemiHidden="0" w:defUIPriority="0" w:defUnhideWhenUsed="0">
    <w:lsdException w:name="heading 5"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Bullet 2" w:semiHidden="1" w:unhideWhenUsed="1"/>
    <w:lsdException w:name="List Bullet 3"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Normal" w:type="paragraph">
    <w:name w:val="Normal"/>
    <w:qFormat/>
    <w:pPr>
      <w:widowControl/>
      <w:spacing w:after="200" w:before="0"/>
      <w:jc w:val="left"/>
    </w:pPr>
    <w:rPr>
      <w:rFonts w:ascii="Cambria" w:asciiTheme="minorHAnsi" w:hAnsi="Cambria" w:hAnsiTheme="minorHAnsi" w:cs="" w:cstheme="minorBidi" w:eastAsia="Cambria" w:eastAsiaTheme="minorHAnsi"/>
      <w:color w:val="auto"/>
      <w:kern w:val="0"/>
      <w:sz w:val="24"/>
    </w:rPr>
  </w:style>
  <w:style w:styleId="Heading1" w:type="paragraph">
    <w:name w:val="Heading 1"/>
    <w:basedOn w:val="Normal"/>
    <w:next w:val="TextBody"/>
    <w:uiPriority w:val="9"/>
    <w:qFormat/>
    <w:pPr>
      <w:keepNext w:val="true"/>
      <w:keepLines/>
      <w:spacing w:after="0" w:before="480"/>
      <w:outlineLvl w:val="0"/>
    </w:pPr>
    <w:rPr>
      <w:rFonts w:ascii="Calibri" w:asciiTheme="majorHAnsi" w:hAnsi="Calibri" w:hAnsiTheme="majorHAnsi" w:cs="" w:cstheme="majorBidi" w:eastAsia="ＭＳ ゴシック" w:eastAsiaTheme="majorEastAsia"/>
      <w:b/>
      <w:color w:themeColor="accent1" w:val="4F81BD"/>
      <w:sz w:val="32"/>
    </w:rPr>
  </w:style>
  <w:style w:styleId="Heading2" w:type="paragraph">
    <w:name w:val="Heading 2"/>
    <w:basedOn w:val="Normal"/>
    <w:next w:val="TextBody"/>
    <w:uiPriority w:val="9"/>
    <w:unhideWhenUsed/>
    <w:qFormat/>
    <w:pPr>
      <w:keepNext w:val="true"/>
      <w:keepLines/>
      <w:spacing w:after="0" w:before="200"/>
      <w:outlineLvl w:val="1"/>
    </w:pPr>
    <w:rPr>
      <w:rFonts w:ascii="Calibri" w:asciiTheme="majorHAnsi" w:hAnsi="Calibri" w:hAnsiTheme="majorHAnsi" w:cs="" w:cstheme="majorBidi" w:eastAsia="ＭＳ ゴシック" w:eastAsiaTheme="majorEastAsia"/>
      <w:b/>
      <w:color w:themeColor="accent1" w:val="4F81BD"/>
      <w:sz w:val="28"/>
    </w:rPr>
  </w:style>
  <w:style w:styleId="Heading3" w:type="paragraph">
    <w:name w:val="Heading 3"/>
    <w:basedOn w:val="Normal"/>
    <w:next w:val="TextBody"/>
    <w:uiPriority w:val="9"/>
    <w:unhideWhenUsed/>
    <w:qFormat/>
    <w:pPr>
      <w:keepNext w:val="true"/>
      <w:keepLines/>
      <w:spacing w:after="0" w:before="200"/>
      <w:outlineLvl w:val="2"/>
    </w:pPr>
    <w:rPr>
      <w:rFonts w:ascii="Calibri" w:asciiTheme="majorHAnsi" w:hAnsi="Calibri" w:hAnsiTheme="majorHAnsi" w:cs="" w:cstheme="majorBidi" w:eastAsia="ＭＳ ゴシック" w:eastAsiaTheme="majorEastAsia"/>
      <w:b/>
      <w:color w:themeColor="accent1" w:val="4F81BD"/>
    </w:rPr>
  </w:style>
  <w:style w:styleId="Heading4" w:type="paragraph">
    <w:name w:val="Heading 4"/>
    <w:basedOn w:val="Normal"/>
    <w:next w:val="TextBody"/>
    <w:uiPriority w:val="9"/>
    <w:unhideWhenUsed/>
    <w:qFormat/>
    <w:pPr>
      <w:keepNext w:val="true"/>
      <w:keepLines/>
      <w:spacing w:after="0" w:before="200"/>
      <w:outlineLvl w:val="3"/>
    </w:pPr>
    <w:rPr>
      <w:rFonts w:ascii="Calibri" w:asciiTheme="majorHAnsi" w:hAnsi="Calibri" w:hAnsiTheme="majorHAnsi" w:cs="" w:cstheme="majorBidi" w:eastAsia="ＭＳ ゴシック" w:eastAsiaTheme="majorEastAsia"/>
      <w:i/>
      <w:color w:themeColor="accent1" w:val="4F81BD"/>
    </w:rPr>
  </w:style>
  <w:style w:styleId="Heading5" w:type="paragraph">
    <w:name w:val="Heading 5"/>
    <w:basedOn w:val="Normal"/>
    <w:next w:val="TextBody"/>
    <w:uiPriority w:val="9"/>
    <w:unhideWhenUsed/>
    <w:qFormat/>
    <w:pPr>
      <w:keepNext w:val="true"/>
      <w:keepLines/>
      <w:spacing w:after="0" w:before="200"/>
      <w:outlineLvl w:val="4"/>
    </w:pPr>
    <w:rPr>
      <w:rFonts w:ascii="Calibri" w:asciiTheme="majorHAnsi" w:hAnsi="Calibri" w:hAnsiTheme="majorHAnsi" w:cs="" w:cstheme="majorBidi" w:eastAsia="ＭＳ ゴシック" w:eastAsiaTheme="majorEastAsia"/>
      <w:color w:themeColor="accent1" w:val="4F81BD"/>
    </w:rPr>
  </w:style>
  <w:style w:styleId="Heading6" w:type="paragraph">
    <w:name w:val="Heading 6"/>
    <w:basedOn w:val="Normal"/>
    <w:next w:val="TextBody"/>
    <w:uiPriority w:val="9"/>
    <w:unhideWhenUsed/>
    <w:qFormat/>
    <w:pPr>
      <w:keepNext w:val="true"/>
      <w:keepLines/>
      <w:spacing w:after="0" w:before="200"/>
      <w:outlineLvl w:val="5"/>
    </w:pPr>
    <w:rPr>
      <w:rFonts w:ascii="Calibri" w:asciiTheme="majorHAnsi" w:hAnsi="Calibri" w:hAnsiTheme="majorHAnsi" w:cs="" w:cstheme="majorBidi" w:eastAsia="ＭＳ ゴシック" w:eastAsiaTheme="majorEastAsia"/>
      <w:color w:themeColor="accent1" w:val="4F81BD"/>
    </w:rPr>
  </w:style>
  <w:style w:styleId="Heading7" w:type="paragraph">
    <w:name w:val="Heading 7"/>
    <w:basedOn w:val="Normal"/>
    <w:next w:val="TextBody"/>
    <w:uiPriority w:val="9"/>
    <w:unhideWhenUsed/>
    <w:qFormat/>
    <w:pPr>
      <w:keepNext w:val="true"/>
      <w:keepLines/>
      <w:spacing w:after="0" w:before="200"/>
      <w:outlineLvl w:val="6"/>
    </w:pPr>
    <w:rPr>
      <w:rFonts w:ascii="Calibri" w:asciiTheme="majorHAnsi" w:hAnsi="Calibri" w:hAnsiTheme="majorHAnsi" w:cs="" w:cstheme="majorBidi" w:eastAsia="ＭＳ ゴシック" w:eastAsiaTheme="majorEastAsia"/>
      <w:color w:themeColor="accent1" w:val="4F81BD"/>
    </w:rPr>
  </w:style>
  <w:style w:styleId="Heading8" w:type="paragraph">
    <w:name w:val="Heading 8"/>
    <w:basedOn w:val="Normal"/>
    <w:next w:val="TextBody"/>
    <w:uiPriority w:val="9"/>
    <w:unhideWhenUsed/>
    <w:qFormat/>
    <w:pPr>
      <w:keepNext w:val="true"/>
      <w:keepLines/>
      <w:spacing w:after="0" w:before="200"/>
      <w:outlineLvl w:val="7"/>
    </w:pPr>
    <w:rPr>
      <w:rFonts w:ascii="Calibri" w:asciiTheme="majorHAnsi" w:hAnsi="Calibri" w:hAnsiTheme="majorHAnsi" w:cs="" w:cstheme="majorBidi" w:eastAsia="ＭＳ ゴシック" w:eastAsiaTheme="majorEastAsia"/>
      <w:color w:themeColor="accent1" w:val="4F81BD"/>
    </w:rPr>
  </w:style>
  <w:style w:styleId="Heading9" w:type="paragraph">
    <w:name w:val="Heading 9"/>
    <w:basedOn w:val="Normal"/>
    <w:next w:val="TextBody"/>
    <w:uiPriority w:val="9"/>
    <w:unhideWhenUsed/>
    <w:qFormat/>
    <w:pPr>
      <w:keepNext w:val="true"/>
      <w:keepLines/>
      <w:spacing w:after="0" w:before="200"/>
      <w:outlineLvl w:val="8"/>
    </w:pPr>
    <w:rPr>
      <w:rFonts w:ascii="Calibri" w:asciiTheme="majorHAnsi" w:hAnsi="Calibri" w:hAnsiTheme="majorHAnsi" w:cs="" w:cstheme="majorBidi" w:eastAsia="ＭＳ ゴシック" w:eastAsiaTheme="majorEastAsia"/>
      <w:color w:themeColor="accent1" w:val="4F81BD"/>
    </w:rPr>
  </w:style>
  <w:style w:default="1" w:styleId="DefaultParagraphFont" w:type="character">
    <w:name w:val="Default Paragraph Font"/>
    <w:uiPriority w:val="1"/>
    <w:semiHidden/>
    <w:unhideWhenUsed/>
    <w:qFormat/>
  </w:style>
  <w:style w:customStyle="1" w:styleId="CaptionChar" w:type="character">
    <w:name w:val="Caption Char"/>
    <w:basedOn w:val="DefaultParagraphFont"/>
    <w:link w:val="Caption"/>
    <w:qFormat/>
  </w:style>
  <w:style w:customStyle="1" w:styleId="VerbatimChar" w:type="character">
    <w:name w:val="Verbatim Char"/>
    <w:basedOn w:val="CaptionChar"/>
    <w:qFormat/>
    <w:rPr>
      <w:rFonts w:ascii="Consolas" w:hAnsi="Consolas"/>
      <w:sz w:val="22"/>
    </w:rPr>
  </w:style>
  <w:style w:styleId="FootnoteCharacters" w:type="character">
    <w:name w:val="Footnote Characters"/>
    <w:basedOn w:val="CaptionChar"/>
    <w:qFormat/>
    <w:rPr>
      <w:vertAlign w:val="superscript"/>
    </w:rPr>
  </w:style>
  <w:style w:styleId="FootnoteAnchor" w:type="character">
    <w:name w:val="Footnote Anchor"/>
    <w:rPr>
      <w:vertAlign w:val="superscript"/>
    </w:rPr>
  </w:style>
  <w:style w:styleId="InternetLink" w:type="character">
    <w:name w:val="Hyperlink"/>
    <w:basedOn w:val="CaptionChar"/>
    <w:rPr>
      <w:color w:themeColor="accent1" w:val="4F81BD"/>
    </w:rPr>
  </w:style>
  <w:style w:customStyle="1" w:styleId="HeaderChar" w:type="character">
    <w:name w:val="Header Char"/>
    <w:basedOn w:val="DefaultParagraphFont"/>
    <w:link w:val="Header"/>
    <w:qFormat/>
    <w:rsid w:val="00cb1f69"/>
  </w:style>
  <w:style w:customStyle="1" w:styleId="FooterChar" w:type="character">
    <w:name w:val="Footer Char"/>
    <w:basedOn w:val="DefaultParagraphFont"/>
    <w:link w:val="Footer"/>
    <w:qFormat/>
    <w:rsid w:val="00cb1f69"/>
  </w:style>
  <w:style w:styleId="UnresolvedMention" w:type="character">
    <w:name w:val="Unresolved Mention"/>
    <w:basedOn w:val="DefaultParagraphFont"/>
    <w:uiPriority w:val="99"/>
    <w:semiHidden/>
    <w:unhideWhenUsed/>
    <w:qFormat/>
    <w:rsid w:val="00cb1f69"/>
    <w:rPr>
      <w:color w:val="605E5C"/>
      <w:shd w:fill="E1DFDD" w:val="clear"/>
    </w:rPr>
  </w:style>
  <w:style w:styleId="EndnoteAnchor" w:type="character">
    <w:name w:val="Endnote Anchor"/>
    <w:rPr>
      <w:vertAlign w:val="superscript"/>
    </w:rPr>
  </w:style>
  <w:style w:styleId="EndnoteCharacters" w:type="character">
    <w:name w:val="Endnote Characters"/>
    <w:qFormat/>
  </w:style>
  <w:style w:styleId="Heading" w:type="paragraph">
    <w:name w:val="Heading"/>
    <w:basedOn w:val="Normal"/>
    <w:next w:val="TextBody"/>
    <w:qFormat/>
    <w:pPr>
      <w:keepNext w:val="true"/>
      <w:spacing w:after="120" w:before="240"/>
    </w:pPr>
    <w:rPr>
      <w:rFonts w:ascii="Liberation Sans" w:hAnsi="Liberation Sans" w:cs="Arial Unicode MS" w:eastAsia="PingFang SC"/>
      <w:sz w:val="28"/>
    </w:rPr>
  </w:style>
  <w:style w:styleId="TextBody" w:type="paragraph">
    <w:name w:val="Body Text"/>
    <w:basedOn w:val="Normal"/>
    <w:qFormat/>
    <w:pPr>
      <w:spacing w:after="180" w:before="180"/>
    </w:pPr>
  </w:style>
  <w:style w:styleId="List" w:type="paragraph">
    <w:name w:val="List"/>
    <w:basedOn w:val="TextBody"/>
    <w:rPr>
      <w:rFonts w:cs="Arial Unicode MS"/>
    </w:rPr>
  </w:style>
  <w:style w:styleId="Caption" w:type="paragraph">
    <w:name w:val="Caption"/>
    <w:basedOn w:val="Normal"/>
    <w:qFormat/>
    <w:pPr>
      <w:suppressLineNumbers/>
      <w:spacing w:after="120" w:before="120"/>
    </w:pPr>
    <w:rPr>
      <w:rFonts w:cs="Arial Unicode MS"/>
      <w:i/>
      <w:sz w:val="24"/>
    </w:rPr>
  </w:style>
  <w:style w:styleId="Index" w:type="paragraph">
    <w:name w:val="Index"/>
    <w:basedOn w:val="Normal"/>
    <w:qFormat/>
    <w:pPr>
      <w:suppressLineNumbers/>
    </w:pPr>
    <w:rPr>
      <w:rFonts w:cs="Arial Unicode MS"/>
    </w:rPr>
  </w:style>
  <w:style w:customStyle="1" w:styleId="FirstParagraph" w:type="paragraph">
    <w:name w:val="First Paragraph"/>
    <w:basedOn w:val="TextBody"/>
    <w:next w:val="TextBody"/>
    <w:qFormat/>
  </w:style>
  <w:style w:customStyle="1" w:styleId="Compact" w:type="paragraph">
    <w:name w:val="Compact"/>
    <w:basedOn w:val="TextBody"/>
    <w:qFormat/>
    <w:pPr>
      <w:spacing w:after="36" w:before="36"/>
    </w:pPr>
  </w:style>
  <w:style w:styleId="Title" w:type="paragraph">
    <w:name w:val="Title"/>
    <w:basedOn w:val="Normal"/>
    <w:next w:val="TextBody"/>
    <w:qFormat/>
    <w:pPr>
      <w:keepNext w:val="true"/>
      <w:keepLines/>
      <w:spacing w:after="240" w:before="480"/>
      <w:jc w:val="center"/>
    </w:pPr>
    <w:rPr>
      <w:rFonts w:ascii="Calibri" w:asciiTheme="majorHAnsi" w:hAnsi="Calibri" w:hAnsiTheme="majorHAnsi" w:cs="" w:cstheme="majorBidi" w:eastAsia="ＭＳ ゴシック" w:eastAsiaTheme="majorEastAsia"/>
      <w:b/>
      <w:color w:themeColor="accent1" w:themeShade="b5" w:val="345A8A"/>
      <w:sz w:val="36"/>
    </w:rPr>
  </w:style>
  <w:style w:styleId="Subtitle" w:type="paragraph">
    <w:name w:val="Subtitle"/>
    <w:basedOn w:val="Title"/>
    <w:next w:val="TextBody"/>
    <w:qFormat/>
    <w:pPr>
      <w:spacing w:after="240" w:before="240"/>
    </w:pPr>
    <w:rPr>
      <w:sz w:val="30"/>
    </w:rPr>
  </w:style>
  <w:style w:customStyle="1" w:styleId="Author" w:type="paragraph">
    <w:name w:val="Author"/>
    <w:next w:val="TextBody"/>
    <w:qFormat/>
    <w:pPr>
      <w:keepNext w:val="true"/>
      <w:keepLines/>
      <w:widowControl/>
      <w:spacing w:after="200" w:before="0"/>
      <w:jc w:val="center"/>
    </w:pPr>
    <w:rPr>
      <w:rFonts w:ascii="Cambria" w:asciiTheme="minorHAnsi" w:hAnsi="Cambria" w:hAnsiTheme="minorHAnsi" w:cs="" w:cstheme="minorBidi" w:eastAsia="Cambria" w:eastAsiaTheme="minorHAnsi"/>
      <w:color w:val="auto"/>
      <w:kern w:val="0"/>
      <w:sz w:val="24"/>
    </w:rPr>
  </w:style>
  <w:style w:styleId="Date" w:type="paragraph">
    <w:name w:val="Date"/>
    <w:next w:val="TextBody"/>
    <w:qFormat/>
    <w:pPr>
      <w:keepNext w:val="true"/>
      <w:keepLines/>
      <w:widowControl/>
      <w:spacing w:after="200" w:before="0"/>
      <w:jc w:val="center"/>
    </w:pPr>
    <w:rPr>
      <w:rFonts w:ascii="Cambria" w:asciiTheme="minorHAnsi" w:hAnsi="Cambria" w:hAnsiTheme="minorHAnsi" w:cs="" w:cstheme="minorBidi" w:eastAsia="Cambria" w:eastAsiaTheme="minorHAnsi"/>
      <w:color w:val="auto"/>
      <w:kern w:val="0"/>
      <w:sz w:val="24"/>
    </w:rPr>
  </w:style>
  <w:style w:customStyle="1" w:styleId="Abstract" w:type="paragraph">
    <w:name w:val="Abstract"/>
    <w:basedOn w:val="Normal"/>
    <w:next w:val="TextBody"/>
    <w:qFormat/>
    <w:pPr>
      <w:keepNext w:val="true"/>
      <w:keepLines/>
      <w:spacing w:after="300" w:before="300"/>
    </w:pPr>
    <w:rPr>
      <w:sz w:val="20"/>
    </w:rPr>
  </w:style>
  <w:style w:styleId="Bibliography" w:type="paragraph">
    <w:name w:val="Bibliography"/>
    <w:basedOn w:val="Normal"/>
    <w:qFormat/>
  </w:style>
  <w:style w:styleId="BlockText" w:type="paragraph">
    <w:name w:val="Block Text"/>
    <w:basedOn w:val="TextBody"/>
    <w:next w:val="TextBody"/>
    <w:uiPriority w:val="9"/>
    <w:unhideWhenUsed/>
    <w:qFormat/>
    <w:pPr>
      <w:spacing w:after="100" w:before="100"/>
      <w:ind w:hanging="0" w:left="480" w:right="480"/>
    </w:pPr>
  </w:style>
  <w:style w:styleId="Footnote" w:type="paragraph">
    <w:name w:val="Footnote Text"/>
    <w:basedOn w:val="Normal"/>
    <w:uiPriority w:val="9"/>
    <w:unhideWhenUsed/>
    <w:qFormat/>
  </w:style>
  <w:style w:customStyle="1" w:styleId="DefinitionTerm" w:type="paragraph">
    <w:name w:val="Definition Term"/>
    <w:basedOn w:val="Normal"/>
    <w:next w:val="Definition"/>
    <w:qFormat/>
    <w:pPr>
      <w:keepNext w:val="true"/>
      <w:keepLines/>
      <w:spacing w:after="0" w:before="0"/>
    </w:pPr>
    <w:rPr>
      <w:b/>
    </w:rPr>
  </w:style>
  <w:style w:customStyle="1" w:styleId="Definition" w:type="paragraph">
    <w:name w:val="Definition"/>
    <w:basedOn w:val="Normal"/>
    <w:qFormat/>
  </w:style>
  <w:style w:styleId="Caption1" w:type="paragraph">
    <w:name w:val="caption"/>
    <w:basedOn w:val="Normal"/>
    <w:link w:val="CaptionChar"/>
    <w:qFormat/>
    <w:pPr>
      <w:spacing w:after="120" w:before="0"/>
    </w:pPr>
    <w:rPr>
      <w:i/>
    </w:rPr>
  </w:style>
  <w:style w:customStyle="1" w:styleId="TableCaption" w:type="paragraph">
    <w:name w:val="Table Caption"/>
    <w:basedOn w:val="Caption1"/>
    <w:qFormat/>
    <w:pPr>
      <w:keepNext w:val="true"/>
    </w:pPr>
  </w:style>
  <w:style w:customStyle="1" w:styleId="ImageCaption" w:type="paragraph">
    <w:name w:val="Image Caption"/>
    <w:basedOn w:val="Caption1"/>
    <w:qFormat/>
  </w:style>
  <w:style w:customStyle="1" w:styleId="Figure" w:type="paragraph">
    <w:name w:val="Figure"/>
    <w:basedOn w:val="Normal"/>
    <w:qFormat/>
  </w:style>
  <w:style w:customStyle="1" w:styleId="CaptionedFigure" w:type="paragraph">
    <w:name w:val="Captioned Figure"/>
    <w:basedOn w:val="Figure"/>
    <w:qFormat/>
    <w:pPr>
      <w:keepNext w:val="true"/>
    </w:pPr>
  </w:style>
  <w:style w:styleId="TOCHeading" w:type="paragraph">
    <w:name w:val="TOC Heading"/>
    <w:basedOn w:val="Heading1"/>
    <w:next w:val="TextBody"/>
    <w:uiPriority w:val="39"/>
    <w:unhideWhenUsed/>
    <w:qFormat/>
    <w:pPr>
      <w:spacing w:after="0" w:before="240" w:line="259" w:lineRule="auto"/>
    </w:pPr>
    <w:rPr>
      <w:b w:val="false"/>
      <w:color w:themeColor="accent1" w:themeShade="bf" w:val="365F91"/>
    </w:rPr>
  </w:style>
  <w:style w:styleId="HeaderandFooter" w:type="paragraph">
    <w:name w:val="Header and Footer"/>
    <w:basedOn w:val="Normal"/>
    <w:qFormat/>
  </w:style>
  <w:style w:styleId="Header" w:type="paragraph">
    <w:name w:val="Header"/>
    <w:basedOn w:val="Normal"/>
    <w:link w:val="HeaderChar"/>
    <w:unhideWhenUsed/>
    <w:rsid w:val="00cb1f69"/>
    <w:pPr>
      <w:tabs>
        <w:tab w:pos="720" w:val="clear"/>
        <w:tab w:leader="none" w:pos="4680" w:val="center"/>
        <w:tab w:leader="none" w:pos="9360" w:val="right"/>
      </w:tabs>
      <w:spacing w:after="0" w:before="0"/>
    </w:pPr>
  </w:style>
  <w:style w:styleId="Footer" w:type="paragraph">
    <w:name w:val="Footer"/>
    <w:basedOn w:val="Normal"/>
    <w:link w:val="FooterChar"/>
    <w:unhideWhenUsed/>
    <w:rsid w:val="00cb1f69"/>
    <w:pPr>
      <w:tabs>
        <w:tab w:pos="720" w:val="clear"/>
        <w:tab w:leader="none" w:pos="4680" w:val="center"/>
        <w:tab w:leader="none" w:pos="9360" w:val="right"/>
      </w:tabs>
      <w:spacing w:after="0" w:before="0"/>
    </w:pPr>
  </w:style>
  <w:style w:styleId="Heading9Grey" w:type="paragraph">
    <w:name w:val="Heading9Grey"/>
    <w:basedOn w:val="Heading9"/>
    <w:qFormat/>
    <w:pPr>
      <w:shd w:fill="DDDDDD" w:val="clear"/>
      <w:spacing w:after="200" w:before="0"/>
    </w:pPr>
  </w:style>
  <w:style w:styleId="Heading1Grey" w:type="paragraph">
    <w:name w:val="Heading1Grey"/>
    <w:basedOn w:val="Heading1"/>
    <w:qFormat/>
    <w:pPr>
      <w:shd w:fill="DDDDDD" w:val="clear"/>
    </w:pPr>
  </w:style>
  <w:style w:styleId="Heading2Grey" w:type="paragraph">
    <w:name w:val="Heading2Grey"/>
    <w:basedOn w:val="Heading2"/>
    <w:qFormat/>
    <w:pPr>
      <w:shd w:fill="DDDDDD" w:val="clear"/>
    </w:pPr>
  </w:style>
  <w:style w:styleId="Heading3Grey" w:type="paragraph">
    <w:name w:val="Heading3Grey"/>
    <w:basedOn w:val="Heading3"/>
    <w:qFormat/>
    <w:pPr>
      <w:shd w:fill="DDDDDD" w:val="clear"/>
    </w:pPr>
  </w:style>
  <w:style w:styleId="Heading4Grey" w:type="paragraph">
    <w:name w:val="Heading4Grey"/>
    <w:basedOn w:val="Heading4"/>
    <w:qFormat/>
    <w:pPr>
      <w:shd w:fill="DDDDDD" w:val="clear"/>
    </w:pPr>
  </w:style>
  <w:style w:styleId="Heading5Grey" w:type="paragraph">
    <w:name w:val="Heading5Grey"/>
    <w:basedOn w:val="Heading5"/>
    <w:qFormat/>
    <w:pPr>
      <w:shd w:fill="DDDDDD" w:val="clear"/>
    </w:pPr>
  </w:style>
  <w:style w:styleId="Heading6Grey" w:type="paragraph">
    <w:name w:val="Heading6Grey"/>
    <w:basedOn w:val="Heading6"/>
    <w:qFormat/>
    <w:pPr>
      <w:shd w:fill="DDDDDD" w:val="clear"/>
    </w:pPr>
  </w:style>
  <w:style w:styleId="Heading7Grey" w:type="paragraph">
    <w:name w:val="Heading7Grey"/>
    <w:basedOn w:val="Heading7"/>
    <w:qFormat/>
    <w:pPr>
      <w:shd w:fill="DDDDDD" w:val="clear"/>
    </w:pPr>
  </w:style>
  <w:style w:styleId="Heading8Grey" w:type="paragraph">
    <w:name w:val="Heading8Grey"/>
    <w:basedOn w:val="Heading8"/>
    <w:qFormat/>
    <w:pPr>
      <w:shd w:fill="DDDDDD" w:val="clear"/>
    </w:pPr>
  </w:style>
  <w:style w:styleId="NoteExampleGrey" w:type="paragraph">
    <w:name w:val="NoteExampleGrey"/>
    <w:basedOn w:val="Normal"/>
    <w:qFormat/>
    <w:pPr>
      <w:shd w:fill="DDDDDD" w:val="clear"/>
    </w:pPr>
  </w:style>
  <w:style w:styleId="SmallWhiteGap" w:type="paragraph">
    <w:name w:val="SmallWhiteGap"/>
    <w:basedOn w:val="TextBody"/>
    <w:next w:val="TextBody"/>
    <w:qFormat/>
    <w:pPr>
      <w:spacing w:after="181" w:before="181"/>
    </w:pPr>
    <w:rPr>
      <w:sz w:val="10"/>
    </w:rPr>
  </w:style>
  <w:style w:default="1" w:styleId="NoList" w:type="numbering">
    <w:name w:val="No List"/>
    <w:uiPriority w:val="99"/>
    <w:semiHidden/>
    <w:unhideWhenUsed/>
    <w:qFormat/>
  </w:style>
  <w:style w:default="1" w:styleId="TableNormal" w:type="table">
    <w:name w:val="Normal Table"/>
    <w:uiPriority w:val="99"/>
    <w:semiHidden/>
    <w:unhideWhenUsed/>
    <w:tblPr>
      <w:tblCellMar>
        <w:top w:type="dxa" w:w="0"/>
        <w:left w:type="dxa" w:w="108"/>
        <w:bottom w:type="dxa" w:w="0"/>
        <w:right w:type="dxa" w:w="108"/>
      </w:tblCellMar>
    </w:tblPr>
  </w:style>
  <w:style w:customStyle="1" w:styleId="Table" w:type="table">
    <w:name w:val="Table"/>
    <w:semiHidden/>
    <w:unhideWhenUsed/>
    <w:qFormat/>
    <w:rsid w:val="000c6fc5"/>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tcPr>
      <w:shd w:color="auto" w:fill="D9D9D9" w:themeFill="background1" w:themeFillShade="d9" w:val="clear"/>
    </w:tc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footer1.xml" Type="http://schemas.openxmlformats.org/officeDocument/2006/relationships/footer" /><Relationship Type="http://schemas.openxmlformats.org/officeDocument/2006/relationships/image" Id="rId52" Target="media/rId52.so" /><Relationship Type="http://schemas.openxmlformats.org/officeDocument/2006/relationships/image" Id="rId35" Target="media/rId35.so" /><Relationship Type="http://schemas.openxmlformats.org/officeDocument/2006/relationships/image" Id="rId62" Target="media/rId62.so" /><Relationship Type="http://schemas.openxmlformats.org/officeDocument/2006/relationships/image" Id="rId70" Target="media/rId70.so" /><Relationship Type="http://schemas.openxmlformats.org/officeDocument/2006/relationships/image" Id="rId40" Target="media/rId40.so" /><Relationship Type="http://schemas.openxmlformats.org/officeDocument/2006/relationships/image" Id="rId75" Target="media/rId75.so" /><Relationship Type="http://schemas.openxmlformats.org/officeDocument/2006/relationships/image" Id="rId79" Target="media/rId79.so" /><Relationship Type="http://schemas.openxmlformats.org/officeDocument/2006/relationships/image" Id="rId30" Target="media/rId30.so" /><Relationship Type="http://schemas.openxmlformats.org/officeDocument/2006/relationships/image" Id="rId57" Target="media/rId57.so" /></Relationships>
</file>

<file path=word/_rels/footer1.xml.rels><?xml version="1.0" encoding="UTF-8"?>
<Relationships xmlns="http://schemas.openxmlformats.org/package/2006/relationships"><Relationship Id="rId1" Type="http://schemas.openxmlformats.org/officeDocument/2006/relationships/hyperlink" Target="https://openstax.org/" TargetMode="Externa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10</TotalTime>
  <Application>LibreOffice/7.0.0.3$MacOSX_X86_64 LibreOffice_project/8061b3e9204bef6b321a21033174034a5e2ea88e</Application>
  <Pages>2</Pages>
  <Words>69</Words>
  <Characters>452</Characters>
  <CharactersWithSpaces>561</CharactersWithSpaces>
  <Paragraphs>40</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2025-01-24T22:24:29Z</dcterms:created>
  <dcterms:modified xsi:type="dcterms:W3CDTF">2025-01-24T22:24:29Z</dcterms:modified>
</cp:coreProperties>
</file>

<file path=docProps/custom.xml><?xml version="1.0" encoding="utf-8"?>
<Properties xmlns="http://schemas.openxmlformats.org/officeDocument/2006/custom-properties" xmlns:vt="http://schemas.openxmlformats.org/officeDocument/2006/docPropsVTypes"/>
</file>