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556249327eae1ae13691fe86dfb538b28e14c4"/>
    <w:bookmarkStart w:id="68" w:name="X94e6c942b35b9b21a55e2208cfa83a7fbb761df"/>
    <w:p>
      <w:pPr>
        <w:pStyle w:val="Heading2"/>
      </w:pPr>
      <w:r>
        <w:t xml:space="preserve">2.7   Nafnakerfi efnafræðinnar</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Gefið algengum tegundum ólífrænna efnasambanda heiti með kerfisbundnum hætti</w:t>
      </w:r>
    </w:p>
    <w:bookmarkEnd w:id="20"/>
    <w:p>
      <w:pPr>
        <w:pStyle w:val="FirstParagraph"/>
      </w:pPr>
      <w:bookmarkStart w:id="21" w:name="term-00001"/>
      <w:r>
        <w:t>Nafnakerfi</w:t>
      </w:r>
      <w:bookmarkEnd w:id="21"/>
      <w:r>
        <w:t xml:space="preserve">, safn reglna um að nefna hluti, er mikilvægt í vísindum og í mörgum öðrum aðstæðum. Í þessum hluta er lýst aðferð sem er notuð til að nefna einföld jóna- og sameindaefni, svo sem NaCl, CaCO</w:t>
      </w:r>
      <w:r>
        <w:rPr>
          <w:vertAlign w:val="subscript"/>
        </w:rPr>
        <w:t>3</w:t>
      </w:r>
      <w:r>
        <w:t xml:space="preserve"> og N</w:t>
      </w:r>
      <w:r>
        <w:rPr>
          <w:vertAlign w:val="subscript"/>
        </w:rPr>
        <w:t>2</w:t>
      </w:r>
      <w:r>
        <w:t>O</w:t>
      </w:r>
      <w:r>
        <w:rPr>
          <w:vertAlign w:val="subscript"/>
        </w:rPr>
        <w:t>4</w:t>
      </w:r>
      <w:r>
        <w:t xml:space="preserve">. Einföldust þeirra eru </w:t>
      </w:r>
      <w:bookmarkStart w:id="22" w:name="term-00002"/>
      <w:r>
        <w:t>tvíefni</w:t>
      </w:r>
      <w:bookmarkEnd w:id="22"/>
      <w:r>
        <w:t xml:space="preserve">, þau sem innihalda aðeins tvö frumefni, en við munum einnig skoða hvernig á að nefna jónaefni sem innihalda fjölatóma jónir og einn sérstakan, mjög mikilvægan flokk efnasambanda sem kallast </w:t>
      </w:r>
      <w:bookmarkStart w:id="23" w:name="term-00003"/>
      <w:r>
        <w:t>sýrur</w:t>
      </w:r>
      <w:bookmarkEnd w:id="23"/>
      <w:r>
        <w:t xml:space="preserve"> (í síðari köflum þessa texta verður fjallað ítarlega um þessi efnasambönd). Við munum takmarka athygli okkar hér við ólífræn efnasambönd, efnasambönd sem eru aðallega samsett úr öðrum frumefnum en kolefni, og munum fylgja nafnakerfisleiðbeiningum sem IUPAC hefur lagt til. Reglurnar fyrir lífræn efnasambönd, þar sem kolefni er aðalfrumefnið, verða meðhöndlaðar í síðari kafla um lífræna efnafræði.</w:t>
      </w:r>
    </w:p>
    <w:bookmarkStart w:id="25" w:name="fs-idp268266480"/>
    <w:bookmarkStart w:id="24" w:name="ionic-compounds"/>
    <w:p>
      <w:pPr>
        <w:pStyle w:val="Heading3"/>
      </w:pPr>
      <w:r>
        <w:t>Jónaefni</w:t>
      </w:r>
    </w:p>
    <w:p>
      <w:pPr>
        <w:pStyle w:val="FirstParagraph"/>
      </w:pPr>
      <w:r>
        <w:t xml:space="preserve">Til að nefna ólífrænt efnasamband þurfum við að íhuga svörin við nokkrum spurningum. Í fyrsta lagi, er efnasambandið jónaefni eða sameindaefnasamband? Ef efnasambandið er jónaefni, myndar málmurinn jónir af aðeins einni gerð (föst hleðsla) eða fleiri en einni gerð (breytileg hleðsla)? Eru jónirnar einfrumeinda eða fjölfrumeinda? Ef efnasambandið er sameindaefnasamband, inniheldur það vetni? Ef svo er, inniheldur það einnig súrefni? Út frá svörunum sem við fáum, setjum við efnasambandið í viðeigandi flokk og nefnum það síðan í samræmi við það.</w:t>
      </w:r>
    </w:p>
    <w:bookmarkEnd w:id="24"/>
    <w:bookmarkEnd w:id="25"/>
    <w:bookmarkStart w:id="28" w:name="fs-idm335792"/>
    <w:bookmarkStart w:id="27" w:name="compounds-containing-only-monatomic-ions"/>
    <w:p>
      <w:pPr>
        <w:pStyle w:val="Heading3"/>
      </w:pPr>
      <w:r>
        <w:t xml:space="preserve">Efnasambönd sem innihalda aðeins einfrumeinda jónir</w:t>
      </w:r>
    </w:p>
    <w:p>
      <w:pPr>
        <w:pStyle w:val="FirstParagraph"/>
      </w:pPr>
      <w:r>
        <w:t xml:space="preserve">Heiti tvíefnis sem inniheldur einatóma jónir samanstendur af heiti katjónarinnar (heiti málmsins) og svo heiti anjónarinnar (heiti málmleysingjans með endingunni -</w:t>
      </w:r>
      <w:r>
        <w:rPr>
          <w:i/>
        </w:rPr>
        <w:t>íð</w:t>
      </w:r>
      <w:r>
        <w:t xml:space="preserve">). Nokkur dæmi eru gefin í </w:t>
      </w:r>
      <w:hyperlink w:anchor="fs-idp282234816">
        <w:r>
          <w:rPr>
            <w:rStyle w:val="InternetLink"/>
          </w:rPr>
          <w:t xml:space="preserve">töflu 2.6</w:t>
        </w:r>
      </w:hyperlink>
      <w:r>
        <w:t>.</w:t>
      </w:r>
    </w:p>
    <w:p>
      <w:pPr>
        <w:pStyle w:val="TextBody"/>
      </w:pPr>
      <w:r>
        <w:t xml:space="preserve">Heiti nokkurra jónaefna</w:t>
      </w:r>
    </w:p>
    <w:bookmarkStart w:id="26" w:name="fs-idp282234816"/>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NaCl, natríumklóríð</w:t>
            </w:r>
          </w:p>
        </w:tc>
        <w:tc>
          <w:tcPr/>
          <w:p>
            <w:pPr>
              <w:pStyle w:val="Compact"/>
              <w:jc w:val="left"/>
            </w:pPr>
            <w:r>
              <w:t>Na</w:t>
            </w:r>
            <w:r>
              <w:rPr>
                <w:vertAlign w:val="subscript"/>
              </w:rPr>
              <w:t>2</w:t>
            </w:r>
            <w:r>
              <w:t xml:space="preserve">O, natríumoxíð</w:t>
            </w:r>
          </w:p>
        </w:tc>
      </w:tr>
      <w:tr>
        <w:tc>
          <w:tcPr/>
          <w:p>
            <w:pPr>
              <w:pStyle w:val="Compact"/>
              <w:jc w:val="left"/>
            </w:pPr>
            <w:r>
              <w:t xml:space="preserve">KBr, kalíumbrómíð</w:t>
            </w:r>
          </w:p>
        </w:tc>
        <w:tc>
          <w:tcPr/>
          <w:p>
            <w:pPr>
              <w:pStyle w:val="Compact"/>
              <w:jc w:val="left"/>
            </w:pPr>
            <w:r>
              <w:t xml:space="preserve">CdS, kadmíumsúlfíð</w:t>
            </w:r>
          </w:p>
        </w:tc>
      </w:tr>
      <w:tr>
        <w:tc>
          <w:tcPr/>
          <w:p>
            <w:pPr>
              <w:pStyle w:val="Compact"/>
              <w:jc w:val="left"/>
            </w:pPr>
            <w:r>
              <w:t>CaI</w:t>
            </w:r>
            <w:r>
              <w:rPr>
                <w:vertAlign w:val="subscript"/>
              </w:rPr>
              <w:t>2</w:t>
            </w:r>
            <w:r>
              <w:t xml:space="preserve">, kalsíumjoðíð</w:t>
            </w:r>
          </w:p>
        </w:tc>
        <w:tc>
          <w:tcPr/>
          <w:p>
            <w:pPr>
              <w:pStyle w:val="Compact"/>
              <w:jc w:val="left"/>
            </w:pPr>
            <w:r>
              <w:t>Mg</w:t>
            </w:r>
            <w:r>
              <w:rPr>
                <w:vertAlign w:val="subscript"/>
              </w:rPr>
              <w:t>3</w:t>
            </w:r>
            <w:r>
              <w:t>N</w:t>
            </w:r>
            <w:r>
              <w:rPr>
                <w:vertAlign w:val="subscript"/>
              </w:rPr>
              <w:t>2</w:t>
            </w:r>
            <w:r>
              <w:t xml:space="preserve">, magnesíumnítríð</w:t>
            </w:r>
          </w:p>
        </w:tc>
      </w:tr>
      <w:tr>
        <w:tc>
          <w:tcPr/>
          <w:p>
            <w:pPr>
              <w:pStyle w:val="Compact"/>
              <w:jc w:val="left"/>
            </w:pPr>
            <w:r>
              <w:t xml:space="preserve">CsF, sesíumflúoríð</w:t>
            </w:r>
          </w:p>
        </w:tc>
        <w:tc>
          <w:tcPr/>
          <w:p>
            <w:pPr>
              <w:pStyle w:val="Compact"/>
              <w:jc w:val="left"/>
            </w:pPr>
            <w:r>
              <w:t>Ca</w:t>
            </w:r>
            <w:r>
              <w:rPr>
                <w:vertAlign w:val="subscript"/>
              </w:rPr>
              <w:t>3</w:t>
            </w:r>
            <w:r>
              <w:t>P</w:t>
            </w:r>
            <w:r>
              <w:rPr>
                <w:vertAlign w:val="subscript"/>
              </w:rPr>
              <w:t>2</w:t>
            </w:r>
            <w:r>
              <w:t xml:space="preserve">, kalsíumfosfíð</w:t>
            </w:r>
          </w:p>
        </w:tc>
      </w:tr>
      <w:tr>
        <w:tc>
          <w:tcPr/>
          <w:p>
            <w:pPr>
              <w:pStyle w:val="Compact"/>
              <w:jc w:val="left"/>
            </w:pPr>
            <w:r>
              <w:t xml:space="preserve">LiCl, litíumklóríð</w:t>
            </w:r>
          </w:p>
        </w:tc>
        <w:tc>
          <w:tcPr/>
          <w:p>
            <w:pPr>
              <w:pStyle w:val="Compact"/>
              <w:jc w:val="left"/>
            </w:pPr>
            <w:r>
              <w:t>Al</w:t>
            </w:r>
            <w:r>
              <w:rPr>
                <w:vertAlign w:val="subscript"/>
              </w:rPr>
              <w:t>4</w:t>
            </w:r>
            <w:r>
              <w:t>C</w:t>
            </w:r>
            <w:r>
              <w:rPr>
                <w:vertAlign w:val="subscript"/>
              </w:rPr>
              <w:t>3</w:t>
            </w:r>
            <w:r>
              <w:t xml:space="preserve">, álkarbíð</w:t>
            </w:r>
          </w:p>
        </w:tc>
      </w:tr>
    </w:tbl>
    <w:bookmarkEnd w:id="26"/>
    <w:p>
      <w:pPr>
        <w:pStyle w:val="TextBody"/>
      </w:pPr>
      <w:r>
        <w:t xml:space="preserve">Tafla  2.6    </w:t>
      </w:r>
    </w:p>
    <w:bookmarkEnd w:id="27"/>
    <w:bookmarkEnd w:id="28"/>
    <w:bookmarkStart w:id="33" w:name="fs-idp279293712"/>
    <w:bookmarkStart w:id="32" w:name="compounds-containing-polyatomic-ions"/>
    <w:p>
      <w:pPr>
        <w:pStyle w:val="Heading3"/>
      </w:pPr>
      <w:r>
        <w:t xml:space="preserve">Efnasambönd sem innihalda fjölfrumeinda jónir</w:t>
      </w:r>
    </w:p>
    <w:p>
      <w:pPr>
        <w:pStyle w:val="FirstParagraph"/>
      </w:pPr>
      <w:r>
        <w:t xml:space="preserve">Efnasambönd sem innihalda fjölfrumeinda jónir eru nefnd á svipaðan hátt og þau sem innihalda aðeins einfrumeinda jónir, þ.e. með því að nefna fyrst katjónina og síðan anjónina. Dæmi eru sýnd í </w:t>
      </w:r>
      <w:hyperlink w:anchor="fs-idp279316112">
        <w:r>
          <w:rPr>
            <w:rStyle w:val="InternetLink"/>
          </w:rPr>
          <w:t xml:space="preserve">töflu 2.7</w:t>
        </w:r>
      </w:hyperlink>
      <w:r>
        <w:t>.</w:t>
      </w:r>
    </w:p>
    <w:p>
      <w:pPr>
        <w:pStyle w:val="TextBody"/>
      </w:pPr>
      <w:r>
        <w:t xml:space="preserve">Heiti nokkurra jónaefna með fjölfrumeinda jónum</w:t>
      </w:r>
    </w:p>
    <w:bookmarkStart w:id="29" w:name="fs-idp279316112"/>
    <w:tbl>
      <w:tblPr>
        <w:tblStyle w:val="Table"/>
        <w:tblW w:type="auto" w:w="0"/>
        <w:tblLook w:firstRow="0" w:lastRow="0" w:firstColumn="0" w:lastColumn="0" w:noHBand="0" w:noVBand="0" w:val="0000"/>
        <w:jc w:val="start"/>
      </w:tblPr>
      <w:tblGrid>
        <w:gridCol w:w="3960"/>
        <w:gridCol w:w="3960"/>
      </w:tblGrid>
      <w:tr>
        <w:tc>
          <w:tcPr/>
          <w:p>
            <w:pPr>
              <w:pStyle w:val="Compact"/>
              <w:jc w:val="left"/>
            </w:pPr>
            <w:r>
              <w:t>KC</w:t>
            </w:r>
            <w:r>
              <w:rPr>
                <w:vertAlign w:val="subscript"/>
              </w:rPr>
              <w:t>2</w:t>
            </w:r>
            <w:r>
              <w:t>H</w:t>
            </w:r>
            <w:r>
              <w:rPr>
                <w:vertAlign w:val="subscript"/>
              </w:rPr>
              <w:t>3</w:t>
            </w:r>
            <w:r>
              <w:t>O</w:t>
            </w:r>
            <w:r>
              <w:rPr>
                <w:vertAlign w:val="subscript"/>
              </w:rPr>
              <w:t>2</w:t>
            </w:r>
            <w:r>
              <w:t xml:space="preserve">, kalíumasetat</w:t>
            </w:r>
          </w:p>
        </w:tc>
        <w:tc>
          <w:tcPr/>
          <w:p>
            <w:pPr>
              <w:pStyle w:val="Compact"/>
              <w:jc w:val="left"/>
            </w:pPr>
            <w:r>
              <w:t>NH</w:t>
            </w:r>
            <w:r>
              <w:rPr>
                <w:vertAlign w:val="subscript"/>
              </w:rPr>
              <w:t>4</w:t>
            </w:r>
            <w:r>
              <w:t xml:space="preserve">Cl, ammóníumklóríð</w:t>
            </w:r>
          </w:p>
        </w:tc>
      </w:tr>
      <w:tr>
        <w:tc>
          <w:tcPr/>
          <w:p>
            <w:pPr>
              <w:pStyle w:val="Compact"/>
              <w:jc w:val="left"/>
            </w:pPr>
            <w:r>
              <w:t>NaHCO</w:t>
            </w:r>
            <w:r>
              <w:rPr>
                <w:vertAlign w:val="subscript"/>
              </w:rPr>
              <w:t>3</w:t>
            </w:r>
            <w:r>
              <w:t xml:space="preserve">, natríumbíkarbónat</w:t>
            </w:r>
          </w:p>
        </w:tc>
        <w:tc>
          <w:tcPr/>
          <w:p>
            <w:pPr>
              <w:pStyle w:val="Compact"/>
              <w:jc w:val="left"/>
            </w:pPr>
            <w:r>
              <w:t>CaSO</w:t>
            </w:r>
            <w:r>
              <w:rPr>
                <w:vertAlign w:val="subscript"/>
              </w:rPr>
              <w:t>4</w:t>
            </w:r>
            <w:r>
              <w:t xml:space="preserve">, kalsíumsúlfat</w:t>
            </w:r>
          </w:p>
        </w:tc>
      </w:tr>
      <w:tr>
        <w:tc>
          <w:tcPr/>
          <w:p>
            <w:pPr>
              <w:pStyle w:val="Compact"/>
              <w:jc w:val="left"/>
            </w:pPr>
            <w:r>
              <w:t>Al</w:t>
            </w:r>
            <w:r>
              <w:rPr>
                <w:vertAlign w:val="subscript"/>
              </w:rPr>
              <w:t>2</w:t>
            </w:r>
            <w:r>
              <w:t>(CO</w:t>
            </w:r>
            <w:r>
              <w:rPr>
                <w:vertAlign w:val="subscript"/>
              </w:rPr>
              <w:t>3</w:t>
            </w:r>
            <w:r>
              <w:t>)</w:t>
            </w:r>
            <w:r>
              <w:rPr>
                <w:vertAlign w:val="subscript"/>
              </w:rPr>
              <w:t>3</w:t>
            </w:r>
            <w:r>
              <w:t xml:space="preserve">, álkarbónat</w:t>
            </w:r>
          </w:p>
        </w:tc>
        <w:tc>
          <w:tcPr/>
          <w:p>
            <w:pPr>
              <w:pStyle w:val="Compact"/>
              <w:jc w:val="left"/>
            </w:pPr>
            <w:r>
              <w:t>Mg</w:t>
            </w:r>
            <w:r>
              <w:rPr>
                <w:vertAlign w:val="subscript"/>
              </w:rPr>
              <w:t>3</w:t>
            </w:r>
            <w:r>
              <w:t>(PO</w:t>
            </w:r>
            <w:r>
              <w:rPr>
                <w:vertAlign w:val="subscript"/>
              </w:rPr>
              <w:t>4</w:t>
            </w:r>
            <w:r>
              <w:t>)</w:t>
            </w:r>
            <w:r>
              <w:rPr>
                <w:vertAlign w:val="subscript"/>
              </w:rPr>
              <w:t>2</w:t>
            </w:r>
            <w:r>
              <w:t xml:space="preserve">, magnesíumfosfat</w:t>
            </w:r>
          </w:p>
        </w:tc>
      </w:tr>
    </w:tbl>
    <w:bookmarkEnd w:id="29"/>
    <w:p>
      <w:pPr>
        <w:pStyle w:val="TextBody"/>
      </w:pPr>
      <w:r>
        <w:t xml:space="preserve">Tafla  2.7    </w:t>
      </w:r>
    </w:p>
    <w:bookmarkStart w:id="31" w:name="fs-idm337456"/>
    <w:p>
      <w:pPr>
        <w:pStyle w:val="Heading3Grey"/>
      </w:pPr>
      <w:r>
        <w:t xml:space="preserve">Efnafræði í daglegu lífi</w:t>
      </w:r>
    </w:p>
    <w:p>
      <w:pPr>
        <w:pStyle w:val="Heading4Grey"/>
      </w:pPr>
      <w:r>
        <w:t xml:space="preserve">Jónaefni í skápunum þínum</w:t>
      </w:r>
    </w:p>
    <w:p>
      <w:pPr>
        <w:pStyle w:val="NoteExampleGrey"/>
      </w:pPr>
      <w:r>
        <w:t xml:space="preserve">Á hverjum degi rekst þú á og notar fjölda jónaefna. Sum þessara efnasambanda, hvar þau finnast og til hvers þau eru notuð, eru talin upp í </w:t>
      </w:r>
      <w:hyperlink w:anchor="fs-idp268265360">
        <w:r>
          <w:rPr>
            <w:rStyle w:val="InternetLink"/>
          </w:rPr>
          <w:t xml:space="preserve">töflu 2.8</w:t>
        </w:r>
      </w:hyperlink>
      <w:r>
        <w:t xml:space="preserve">. Skoðaðu merkimiðann eða innihaldslistann á hinum ýmsu vörum sem þú notar næstu daga og athugaðu hvort þú rekst á einhver þeirra í þessari töflu, eða finnur önnur jónaefni sem þú gætir nú nefnt eða skrifað sem formúlu.</w:t>
      </w:r>
    </w:p>
    <w:p>
      <w:pPr>
        <w:pStyle w:val="NoteExampleGrey"/>
      </w:pPr>
      <w:r>
        <w:t xml:space="preserve">Jónaefni í daglegu lífi</w:t>
      </w:r>
    </w:p>
    <w:bookmarkStart w:id="30" w:name="fs-idp268265360"/>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Jónaefni</w:t>
            </w:r>
          </w:p>
        </w:tc>
        <w:tc>
          <w:tcPr/>
          <w:p>
            <w:pPr>
              <w:pStyle w:val="Compact"/>
              <w:jc w:val="left"/>
            </w:pPr>
            <w:r>
              <w:t>Notkun</w:t>
            </w:r>
          </w:p>
        </w:tc>
      </w:tr>
      <w:tr>
        <w:tc>
          <w:tcPr/>
          <w:p>
            <w:pPr>
              <w:pStyle w:val="Compact"/>
              <w:jc w:val="left"/>
            </w:pPr>
            <w:r>
              <w:t xml:space="preserve">NaCl, natríumklóríð</w:t>
            </w:r>
          </w:p>
        </w:tc>
        <w:tc>
          <w:tcPr/>
          <w:p>
            <w:pPr>
              <w:pStyle w:val="Compact"/>
              <w:jc w:val="left"/>
            </w:pPr>
            <w:r>
              <w:t xml:space="preserve">venjulegt borðsalt</w:t>
            </w:r>
          </w:p>
        </w:tc>
      </w:tr>
      <w:tr>
        <w:tc>
          <w:tcPr/>
          <w:p>
            <w:pPr>
              <w:pStyle w:val="Compact"/>
              <w:jc w:val="left"/>
            </w:pPr>
            <w:r>
              <w:t xml:space="preserve">KI, kalíumjoðíð</w:t>
            </w:r>
          </w:p>
        </w:tc>
        <w:tc>
          <w:tcPr/>
          <w:p>
            <w:pPr>
              <w:pStyle w:val="Compact"/>
              <w:jc w:val="left"/>
            </w:pPr>
            <w:r>
              <w:t xml:space="preserve">bætt við „joðbætt“ salt fyrir skjaldkirtilinn</w:t>
            </w:r>
          </w:p>
        </w:tc>
      </w:tr>
      <w:tr>
        <w:tc>
          <w:tcPr/>
          <w:p>
            <w:pPr>
              <w:pStyle w:val="Compact"/>
              <w:jc w:val="left"/>
            </w:pPr>
            <w:r>
              <w:t xml:space="preserve">NaF, natríumflúoríð</w:t>
            </w:r>
          </w:p>
        </w:tc>
        <w:tc>
          <w:tcPr/>
          <w:p>
            <w:pPr>
              <w:pStyle w:val="Compact"/>
              <w:jc w:val="left"/>
            </w:pPr>
            <w:r>
              <w:t xml:space="preserve">innihaldsefni í tannkremi</w:t>
            </w:r>
          </w:p>
        </w:tc>
      </w:tr>
      <w:tr>
        <w:tc>
          <w:tcPr/>
          <w:p>
            <w:pPr>
              <w:pStyle w:val="Compact"/>
              <w:jc w:val="left"/>
            </w:pPr>
            <w:r>
              <w:t>NaHCO</w:t>
            </w:r>
            <w:r>
              <w:rPr>
                <w:vertAlign w:val="subscript"/>
              </w:rPr>
              <w:t>3</w:t>
            </w:r>
            <w:r>
              <w:t xml:space="preserve">, natríumbíkarbónat</w:t>
            </w:r>
          </w:p>
        </w:tc>
        <w:tc>
          <w:tcPr/>
          <w:p>
            <w:pPr>
              <w:pStyle w:val="Compact"/>
              <w:jc w:val="left"/>
            </w:pPr>
            <w:r>
              <w:t xml:space="preserve">matarsódi; notaður í matargerð (og sem sýrubindandi lyf)</w:t>
            </w:r>
          </w:p>
        </w:tc>
      </w:tr>
      <w:tr>
        <w:tc>
          <w:tcPr/>
          <w:p>
            <w:pPr>
              <w:pStyle w:val="Compact"/>
              <w:jc w:val="left"/>
            </w:pPr>
            <w:r>
              <w:t>Na</w:t>
            </w:r>
            <w:r>
              <w:rPr>
                <w:vertAlign w:val="subscript"/>
              </w:rPr>
              <w:t>2</w:t>
            </w:r>
            <w:r>
              <w:t>CO</w:t>
            </w:r>
            <w:r>
              <w:rPr>
                <w:vertAlign w:val="subscript"/>
              </w:rPr>
              <w:t>3</w:t>
            </w:r>
            <w:r>
              <w:t xml:space="preserve">, natríumkarbónat</w:t>
            </w:r>
          </w:p>
        </w:tc>
        <w:tc>
          <w:tcPr/>
          <w:p>
            <w:pPr>
              <w:pStyle w:val="Compact"/>
              <w:jc w:val="left"/>
            </w:pPr>
            <w:r>
              <w:t xml:space="preserve">þvottasódi; notaður í hreinsiefni</w:t>
            </w:r>
          </w:p>
        </w:tc>
      </w:tr>
      <w:tr>
        <w:tc>
          <w:tcPr/>
          <w:p>
            <w:pPr>
              <w:pStyle w:val="Compact"/>
              <w:jc w:val="left"/>
            </w:pPr>
            <w:r>
              <w:t xml:space="preserve">NaOCl, natríumhýpóklórít</w:t>
            </w:r>
          </w:p>
        </w:tc>
        <w:tc>
          <w:tcPr/>
          <w:p>
            <w:pPr>
              <w:pStyle w:val="Compact"/>
              <w:jc w:val="left"/>
            </w:pPr>
            <w:r>
              <w:t xml:space="preserve">virkt innihaldsefni í bleikiefni til heimilisnota</w:t>
            </w:r>
          </w:p>
        </w:tc>
      </w:tr>
      <w:tr>
        <w:tc>
          <w:tcPr/>
          <w:p>
            <w:pPr>
              <w:pStyle w:val="Compact"/>
              <w:jc w:val="left"/>
            </w:pPr>
            <w:r>
              <w:t>CaCO</w:t>
            </w:r>
            <w:r>
              <w:rPr>
                <w:vertAlign w:val="subscript"/>
              </w:rPr>
              <w:t>3</w:t>
            </w:r>
            <w:r>
              <w:t xml:space="preserve"> kalsíumkarbónat</w:t>
            </w:r>
          </w:p>
        </w:tc>
        <w:tc>
          <w:tcPr/>
          <w:p>
            <w:pPr>
              <w:pStyle w:val="Compact"/>
              <w:jc w:val="left"/>
            </w:pPr>
            <w:r>
              <w:t xml:space="preserve">innihaldsefni í sýrubindandi lyfjum</w:t>
            </w:r>
          </w:p>
        </w:tc>
      </w:tr>
      <w:tr>
        <w:tc>
          <w:tcPr/>
          <w:p>
            <w:pPr>
              <w:pStyle w:val="Compact"/>
              <w:jc w:val="left"/>
            </w:pPr>
            <w:r>
              <w:t>Mg(OH)</w:t>
            </w:r>
            <w:r>
              <w:rPr>
                <w:vertAlign w:val="subscript"/>
              </w:rPr>
              <w:t>2</w:t>
            </w:r>
            <w:r>
              <w:t xml:space="preserve">, magnesíumhýdroxíð</w:t>
            </w:r>
          </w:p>
        </w:tc>
        <w:tc>
          <w:tcPr/>
          <w:p>
            <w:pPr>
              <w:pStyle w:val="Compact"/>
              <w:jc w:val="left"/>
            </w:pPr>
            <w:r>
              <w:t xml:space="preserve">innihaldsefni í sýrubindandi lyfjum</w:t>
            </w:r>
          </w:p>
        </w:tc>
      </w:tr>
      <w:tr>
        <w:tc>
          <w:tcPr/>
          <w:p>
            <w:pPr>
              <w:pStyle w:val="Compact"/>
              <w:jc w:val="left"/>
            </w:pPr>
            <w:r>
              <w:t>Al(OH)</w:t>
            </w:r>
            <w:r>
              <w:rPr>
                <w:vertAlign w:val="subscript"/>
              </w:rPr>
              <w:t>3</w:t>
            </w:r>
            <w:r>
              <w:t xml:space="preserve">, álhýdroxíð</w:t>
            </w:r>
          </w:p>
        </w:tc>
        <w:tc>
          <w:tcPr/>
          <w:p>
            <w:pPr>
              <w:pStyle w:val="Compact"/>
              <w:jc w:val="left"/>
            </w:pPr>
            <w:r>
              <w:t xml:space="preserve">innihaldsefni í sýrubindandi lyfjum</w:t>
            </w:r>
          </w:p>
        </w:tc>
      </w:tr>
      <w:tr>
        <w:tc>
          <w:tcPr/>
          <w:p>
            <w:pPr>
              <w:pStyle w:val="Compact"/>
              <w:jc w:val="left"/>
            </w:pPr>
            <w:r>
              <w:t xml:space="preserve">NaOH, natríumhýdroxíð</w:t>
            </w:r>
          </w:p>
        </w:tc>
        <w:tc>
          <w:tcPr/>
          <w:p>
            <w:pPr>
              <w:pStyle w:val="Compact"/>
              <w:jc w:val="left"/>
            </w:pPr>
            <w:r>
              <w:t xml:space="preserve">lútur; notaður sem frárennslishreinsir</w:t>
            </w:r>
          </w:p>
        </w:tc>
      </w:tr>
      <w:tr>
        <w:tc>
          <w:tcPr/>
          <w:p>
            <w:pPr>
              <w:pStyle w:val="Compact"/>
              <w:jc w:val="left"/>
            </w:pPr>
            <w:r>
              <w:t>K</w:t>
            </w:r>
            <w:r>
              <w:rPr>
                <w:vertAlign w:val="subscript"/>
              </w:rPr>
              <w:t>3</w:t>
            </w:r>
            <w:r>
              <w:t>PO</w:t>
            </w:r>
            <w:r>
              <w:rPr>
                <w:vertAlign w:val="subscript"/>
              </w:rPr>
              <w:t>4</w:t>
            </w:r>
            <w:r>
              <w:t xml:space="preserve">, kalíumfosfat</w:t>
            </w:r>
          </w:p>
        </w:tc>
        <w:tc>
          <w:tcPr/>
          <w:p>
            <w:pPr>
              <w:pStyle w:val="Compact"/>
              <w:jc w:val="left"/>
            </w:pPr>
            <w:r>
              <w:t xml:space="preserve">aukefni í matvælum (margvísleg not)</w:t>
            </w:r>
          </w:p>
        </w:tc>
      </w:tr>
      <w:tr>
        <w:tc>
          <w:tcPr/>
          <w:p>
            <w:pPr>
              <w:pStyle w:val="Compact"/>
              <w:jc w:val="left"/>
            </w:pPr>
            <w:r>
              <w:t>MgSO</w:t>
            </w:r>
            <w:r>
              <w:rPr>
                <w:vertAlign w:val="subscript"/>
              </w:rPr>
              <w:t>4</w:t>
            </w:r>
            <w:r>
              <w:t xml:space="preserve">, magnesíumsúlfat</w:t>
            </w:r>
          </w:p>
        </w:tc>
        <w:tc>
          <w:tcPr/>
          <w:p>
            <w:pPr>
              <w:pStyle w:val="Compact"/>
              <w:jc w:val="left"/>
            </w:pPr>
            <w:r>
              <w:t xml:space="preserve">bætt við hreinsað vatn</w:t>
            </w:r>
          </w:p>
        </w:tc>
      </w:tr>
      <w:tr>
        <w:tc>
          <w:tcPr/>
          <w:p>
            <w:pPr>
              <w:pStyle w:val="Compact"/>
              <w:jc w:val="left"/>
            </w:pPr>
            <w:r>
              <w:t>Na</w:t>
            </w:r>
            <w:r>
              <w:rPr>
                <w:vertAlign w:val="subscript"/>
              </w:rPr>
              <w:t>2</w:t>
            </w:r>
            <w:r>
              <w:t>HPO</w:t>
            </w:r>
            <w:r>
              <w:rPr>
                <w:vertAlign w:val="subscript"/>
              </w:rPr>
              <w:t>4</w:t>
            </w:r>
            <w:r>
              <w:t xml:space="preserve">, natríumhýdrógenfosfat</w:t>
            </w:r>
          </w:p>
        </w:tc>
        <w:tc>
          <w:tcPr/>
          <w:p>
            <w:pPr>
              <w:pStyle w:val="Compact"/>
              <w:jc w:val="left"/>
            </w:pPr>
            <w:r>
              <w:t xml:space="preserve">kekkjavarnarefni; notað í vörur í duftformi</w:t>
            </w:r>
          </w:p>
        </w:tc>
      </w:tr>
      <w:tr>
        <w:tc>
          <w:tcPr/>
          <w:p>
            <w:pPr>
              <w:pStyle w:val="Compact"/>
              <w:jc w:val="left"/>
            </w:pPr>
            <w:r>
              <w:t>Na</w:t>
            </w:r>
            <w:r>
              <w:rPr>
                <w:vertAlign w:val="subscript"/>
              </w:rPr>
              <w:t>2</w:t>
            </w:r>
            <w:r>
              <w:t>SO</w:t>
            </w:r>
            <w:r>
              <w:rPr>
                <w:vertAlign w:val="subscript"/>
              </w:rPr>
              <w:t>3</w:t>
            </w:r>
            <w:r>
              <w:t xml:space="preserve">, natríumsúlfít</w:t>
            </w:r>
          </w:p>
        </w:tc>
        <w:tc>
          <w:tcPr/>
          <w:p>
            <w:pPr>
              <w:pStyle w:val="Compact"/>
              <w:jc w:val="left"/>
            </w:pPr>
            <w:r>
              <w:t>rotvarnarefni</w:t>
            </w:r>
          </w:p>
        </w:tc>
      </w:tr>
    </w:tbl>
    <w:bookmarkEnd w:id="30"/>
    <w:p>
      <w:pPr>
        <w:pStyle w:val="NoteExampleGrey"/>
      </w:pPr>
      <w:r>
        <w:t xml:space="preserve">Tafla  2.8    </w:t>
      </w:r>
    </w:p>
    <w:bookmarkEnd w:id="31"/>
    <w:bookmarkEnd w:id="32"/>
    <w:bookmarkEnd w:id="33"/>
    <w:bookmarkStart w:id="37" w:name="fs-idp282353488"/>
    <w:bookmarkStart w:id="36" w:name="X6aa3c3c82446bbfbb3b685984992956bf46da50"/>
    <w:p>
      <w:pPr>
        <w:pStyle w:val="Heading3"/>
      </w:pPr>
      <w:r>
        <w:t xml:space="preserve">Efnasambönd sem innihalda málmjón með breytilega hleðslu</w:t>
      </w:r>
    </w:p>
    <w:p>
      <w:pPr>
        <w:pStyle w:val="FirstParagraph"/>
      </w:pPr>
      <w:r>
        <w:t xml:space="preserve">Flestir hliðarmálmar og sumir málmar í aðalflokkum geta myndað tvær eða fleiri katjónir með mismunandi hleðslu. Efnasambönd þessara málma með málmleysingjum eru nefnd með sömu aðferð og efnasambönd í fyrsta flokknum, nema að hleðsla málmjónarinnar er tilgreind með rómverskri tölu í sviga á eftir heiti málmsins. Hleðsla málmjónarinnar er ákvörðuð út frá formúlu efnasambandsins og hleðslu anjónarinnar. Sem dæmi má nefna tvíundar jónaefni járns og klórs. Járn hefur venjulega hleðslu annaðhvort 2+ eða 3+ (sjá </w:t>
      </w:r>
      <w:hyperlink r:id="rId34">
        <w:r>
          <w:rPr>
            <w:rStyle w:val="InternetLink"/>
          </w:rPr>
          <w:t xml:space="preserve">mynd 2.29</w:t>
        </w:r>
      </w:hyperlink>
      <w:r>
        <w:t xml:space="preserve">) og samsvarandi formúlur efnasambandanna eru FeCl</w:t>
      </w:r>
      <w:r>
        <w:rPr>
          <w:vertAlign w:val="subscript"/>
        </w:rPr>
        <w:t>2</w:t>
      </w:r>
      <w:r>
        <w:t xml:space="preserve"> og FeCl</w:t>
      </w:r>
      <w:r>
        <w:rPr>
          <w:vertAlign w:val="subscript"/>
        </w:rPr>
        <w:t>3</w:t>
      </w:r>
      <w:r>
        <w:t xml:space="preserve">. Einfaldasta heitið, „járnklóríð“, væri í þessu tilfelli tvírætt, þar sem það gerir ekki greinarmun á þessum tveimur efnasamböndum. Í tilfellum sem þessum er hleðsla málmjónarinnar innifalin sem rómversk tala í sviga strax á eftir heiti málmsins. Þessi tvö efnasambönd eru þá ótvírætt nefnd járn(II)klóríð og járn(III)klóríð. Önnur dæmi eru gefin í </w:t>
      </w:r>
      <w:hyperlink w:anchor="fs-idp282283328">
        <w:r>
          <w:rPr>
            <w:rStyle w:val="InternetLink"/>
          </w:rPr>
          <w:t xml:space="preserve">töflu 2.9</w:t>
        </w:r>
      </w:hyperlink>
    </w:p>
    <w:p>
      <w:pPr>
        <w:pStyle w:val="TextBody"/>
      </w:pPr>
      <w:r>
        <w:t xml:space="preserve">Nokkur jónaefni með málmjónum með breytilega hleðslu</w:t>
      </w:r>
    </w:p>
    <w:bookmarkStart w:id="35" w:name="fs-idp28228332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Efnasamband</w:t>
            </w:r>
          </w:p>
        </w:tc>
        <w:tc>
          <w:tcPr/>
          <w:p>
            <w:pPr>
              <w:pStyle w:val="Compact"/>
              <w:jc w:val="left"/>
            </w:pPr>
            <w:r>
              <w:t>Heiti</w:t>
            </w:r>
          </w:p>
        </w:tc>
      </w:tr>
      <w:tr>
        <w:tc>
          <w:tcPr/>
          <w:p>
            <w:pPr>
              <w:pStyle w:val="Compact"/>
              <w:jc w:val="left"/>
            </w:pPr>
            <w:r>
              <w:t>FeCl</w:t>
            </w:r>
            <w:r>
              <w:rPr>
                <w:vertAlign w:val="subscript"/>
              </w:rPr>
              <w:t>2</w:t>
            </w:r>
          </w:p>
        </w:tc>
        <w:tc>
          <w:tcPr/>
          <w:p>
            <w:pPr>
              <w:pStyle w:val="Compact"/>
              <w:jc w:val="left"/>
            </w:pPr>
            <w:r>
              <w:t xml:space="preserve">járn(II) klóríð</w:t>
            </w:r>
          </w:p>
        </w:tc>
      </w:tr>
      <w:tr>
        <w:tc>
          <w:tcPr/>
          <w:p>
            <w:pPr>
              <w:pStyle w:val="Compact"/>
              <w:jc w:val="left"/>
            </w:pPr>
            <w:r>
              <w:t>FeCl</w:t>
            </w:r>
            <w:r>
              <w:rPr>
                <w:vertAlign w:val="subscript"/>
              </w:rPr>
              <w:t>3</w:t>
            </w:r>
          </w:p>
        </w:tc>
        <w:tc>
          <w:tcPr/>
          <w:p>
            <w:pPr>
              <w:pStyle w:val="Compact"/>
              <w:jc w:val="left"/>
            </w:pPr>
            <w:r>
              <w:t xml:space="preserve">járn(III) klóríð</w:t>
            </w:r>
          </w:p>
        </w:tc>
      </w:tr>
      <w:tr>
        <w:tc>
          <w:tcPr/>
          <w:p>
            <w:pPr>
              <w:pStyle w:val="Compact"/>
              <w:jc w:val="left"/>
            </w:pPr>
            <w:r>
              <w:t>Hg</w:t>
            </w:r>
            <w:r>
              <w:rPr>
                <w:vertAlign w:val="subscript"/>
              </w:rPr>
              <w:t>2</w:t>
            </w:r>
            <w:r>
              <w:t>O</w:t>
            </w:r>
          </w:p>
        </w:tc>
        <w:tc>
          <w:tcPr/>
          <w:p>
            <w:pPr>
              <w:pStyle w:val="Compact"/>
              <w:jc w:val="left"/>
            </w:pPr>
            <w:r>
              <w:t xml:space="preserve">kvikasilfurs(I) oxíð</w:t>
            </w:r>
          </w:p>
        </w:tc>
      </w:tr>
      <w:tr>
        <w:tc>
          <w:tcPr/>
          <w:p>
            <w:pPr>
              <w:pStyle w:val="Compact"/>
              <w:jc w:val="left"/>
            </w:pPr>
            <w:r>
              <w:t>HgO</w:t>
            </w:r>
          </w:p>
        </w:tc>
        <w:tc>
          <w:tcPr/>
          <w:p>
            <w:pPr>
              <w:pStyle w:val="Compact"/>
              <w:jc w:val="left"/>
            </w:pPr>
            <w:r>
              <w:t xml:space="preserve">kvikasilfurs(II) oxíð</w:t>
            </w:r>
          </w:p>
        </w:tc>
      </w:tr>
      <w:tr>
        <w:tc>
          <w:tcPr/>
          <w:p>
            <w:pPr>
              <w:pStyle w:val="Compact"/>
              <w:jc w:val="left"/>
            </w:pPr>
            <w:r>
              <w:t>SnF</w:t>
            </w:r>
            <w:r>
              <w:rPr>
                <w:vertAlign w:val="subscript"/>
              </w:rPr>
              <w:t>2</w:t>
            </w:r>
          </w:p>
        </w:tc>
        <w:tc>
          <w:tcPr/>
          <w:p>
            <w:pPr>
              <w:pStyle w:val="Compact"/>
              <w:jc w:val="left"/>
            </w:pPr>
            <w:r>
              <w:t xml:space="preserve">tin(II) flúoríð</w:t>
            </w:r>
          </w:p>
        </w:tc>
      </w:tr>
      <w:tr>
        <w:tc>
          <w:tcPr/>
          <w:p>
            <w:pPr>
              <w:pStyle w:val="Compact"/>
              <w:jc w:val="left"/>
            </w:pPr>
            <w:r>
              <w:t>SnF</w:t>
            </w:r>
            <w:r>
              <w:rPr>
                <w:vertAlign w:val="subscript"/>
              </w:rPr>
              <w:t>4</w:t>
            </w:r>
          </w:p>
        </w:tc>
        <w:tc>
          <w:tcPr/>
          <w:p>
            <w:pPr>
              <w:pStyle w:val="Compact"/>
              <w:jc w:val="left"/>
            </w:pPr>
            <w:r>
              <w:t xml:space="preserve">tin(IV) flúoríð</w:t>
            </w:r>
          </w:p>
        </w:tc>
      </w:tr>
    </w:tbl>
    <w:bookmarkEnd w:id="35"/>
    <w:p>
      <w:pPr>
        <w:pStyle w:val="TextBody"/>
      </w:pPr>
      <w:r>
        <w:t xml:space="preserve">Tafla  2.9    </w:t>
      </w:r>
    </w:p>
    <w:p>
      <w:pPr>
        <w:pStyle w:val="TextBody"/>
      </w:pPr>
      <w:r>
        <w:t xml:space="preserve">Í eldri nafnakerfum voru viðskeytin –</w:t>
      </w:r>
      <w:r>
        <w:rPr>
          <w:i/>
        </w:rPr>
        <w:t>ic</w:t>
      </w:r>
      <w:r>
        <w:t xml:space="preserve"> og –</w:t>
      </w:r>
      <w:r>
        <w:rPr>
          <w:i/>
        </w:rPr>
        <w:t>ous</w:t>
      </w:r>
      <w:r>
        <w:t xml:space="preserve"> notuð til að tákna málma með hærri og lægri hleðslur, í sömu röð: Járn(III)klóríð, FeCl</w:t>
      </w:r>
      <w:r>
        <w:rPr>
          <w:vertAlign w:val="subscript"/>
        </w:rPr>
        <w:t>3</w:t>
      </w:r>
      <w:r>
        <w:t xml:space="preserve">, var áður kallað „ferric chloride“ og járn(II)klóríð, FeCl</w:t>
      </w:r>
      <w:r>
        <w:rPr>
          <w:vertAlign w:val="subscript"/>
        </w:rPr>
        <w:t>2</w:t>
      </w:r>
      <w:r>
        <w:t xml:space="preserve">, var þekkt sem „ferrous chloride“. Þótt vísindasamfélagið hafi að mestu hætt að nota þessa nafnahefð er hún enn í notkun í sumum greinum iðnaðarins. Til dæmis gætirðu séð orðin </w:t>
      </w:r>
      <w:r>
        <w:rPr>
          <w:i/>
        </w:rPr>
        <w:t xml:space="preserve">„stannous fluoride“</w:t>
      </w:r>
      <w:r>
        <w:t xml:space="preserve"> á tannkremstúpu. Það táknar formúluna SnF</w:t>
      </w:r>
      <w:r>
        <w:rPr>
          <w:vertAlign w:val="subscript"/>
        </w:rPr>
        <w:t>2</w:t>
      </w:r>
      <w:r>
        <w:t xml:space="preserve">, sem er réttara að nefna tin(II)flúoríð. Hitt flúoríði tins er SnF</w:t>
      </w:r>
      <w:r>
        <w:rPr>
          <w:vertAlign w:val="subscript"/>
        </w:rPr>
        <w:t>4</w:t>
      </w:r>
      <w:r>
        <w:t xml:space="preserve">, sem áður var kallað „stannic fluoride“ en heitir nú tin(IV)flúoríð.</w:t>
      </w:r>
    </w:p>
    <w:bookmarkEnd w:id="36"/>
    <w:bookmarkEnd w:id="37"/>
    <w:bookmarkStart w:id="50" w:name="fs-idm237433856"/>
    <w:bookmarkStart w:id="49" w:name="ionic-hydrates"/>
    <w:p>
      <w:pPr>
        <w:pStyle w:val="Heading3"/>
      </w:pPr>
      <w:r>
        <w:t xml:space="preserve">Vatnaðar jónir</w:t>
      </w:r>
    </w:p>
    <w:p>
      <w:pPr>
        <w:pStyle w:val="FirstParagraph"/>
      </w:pPr>
      <w:r>
        <w:t xml:space="preserve">Jónaefni sem innihalda vatnssameindir sem óaðskiljanlegan hluta af kristöllum sínum eru kölluð </w:t>
      </w:r>
      <w:bookmarkStart w:id="38" w:name="term-00004"/>
      <w:r>
        <w:t xml:space="preserve">vatnaðar jónir</w:t>
      </w:r>
      <w:bookmarkEnd w:id="38"/>
      <w:r>
        <w:t xml:space="preserve">. Nafn á vatnaðri jón er myndað með því að bæta við nafnið á vatnsfría efnasambandinu (sem þýðir „ekki vatnað“) orði sem gefur til kynna fjölda vatnssameinda sem tengjast hverri formúlueiningu efnasambandsins. Viðbætta orðið byrjar á grískum forlið sem táknar fjölda vatnssameinda (sjá </w:t>
      </w:r>
      <w:hyperlink w:anchor="fs-idp268400368">
        <w:r>
          <w:rPr>
            <w:rStyle w:val="InternetLink"/>
          </w:rPr>
          <w:t xml:space="preserve">töflu 2.10</w:t>
        </w:r>
      </w:hyperlink>
      <w:r>
        <w:t xml:space="preserve">) og endar á „hýdrat“. Til dæmis er vatnsfría efnasambandið kopar(II)súlfat einnig til sem vatnað efnasamband sem inniheldur fimm vatnssameindir og heitir kopar(II)súlfat pentahýdrat. Kristalsódi er almennt heiti á vatnaðri jón natríumkarbónats sem inniheldur 10 vatnssameindir; kerfisbundið nafn er natríumkarbónat dekahýdrat.</w:t>
      </w:r>
    </w:p>
    <w:p>
      <w:pPr>
        <w:pStyle w:val="TextBody"/>
      </w:pPr>
      <w:r>
        <w:t xml:space="preserve">Formúlur fyrir vatnaðar jónir eru skrifaðar með því að bæta við miðjusettum punkti, stuðli sem táknar fjölda vatnssameinda og formúlu fyrir vatn. Dæmin tvö sem nefnd eru í fyrri málsgrein eru táknuð með formúlunum</w:t>
      </w:r>
    </w:p>
    <w:bookmarkStart w:id="39" w:name="fs-idm229832608"/>
    <w:p>
      <w:pPr>
        <w:pStyle w:val="TextBody"/>
      </w:pPr>
      <m:oMath>
        <m:r>
          <m:rPr>
            <m:nor/>
            <m:sty m:val="p"/>
          </m:rPr>
          <m:t>copper(II) sulfate pentahydrate</m:t>
        </m:r>
        <m:r>
          <m:t> </m:t>
        </m:r>
        <m:sSub>
          <m:e>
            <m:r>
              <m:rPr>
                <m:nor/>
                <m:sty m:val="p"/>
              </m:rPr>
              <m:t>CuSO</m:t>
            </m:r>
          </m:e>
          <m:sub>
            <m:r>
              <m:t>4</m:t>
            </m:r>
          </m:sub>
        </m:sSub>
        <m:r>
          <m:rPr>
            <m:sty m:val="p"/>
          </m:rPr>
          <m:t>•</m:t>
        </m:r>
        <m:r>
          <m:t>5</m:t>
        </m:r>
        <m:sSub>
          <m:e>
            <m:r>
              <m:rPr>
                <m:nor/>
                <m:sty m:val="p"/>
              </m:rPr>
              <m:t>H</m:t>
            </m:r>
          </m:e>
          <m:sub>
            <m:r>
              <m:t>2</m:t>
            </m:r>
          </m:sub>
        </m:sSub>
        <m:r>
          <m:rPr>
            <m:nor/>
            <m:sty m:val="p"/>
          </m:rPr>
          <m:t>O</m:t>
        </m:r>
      </m:oMath>
    </w:p>
    <w:bookmarkEnd w:id="39"/>
    <w:bookmarkStart w:id="40" w:name="fs-idm220871888"/>
    <w:p>
      <w:pPr>
        <w:pStyle w:val="TextBody"/>
      </w:pPr>
      <m:oMath>
        <m:r>
          <m:rPr>
            <m:nor/>
            <m:sty m:val="p"/>
          </m:rPr>
          <m:t>sodium carbonate decahydrate</m:t>
        </m:r>
        <m:r>
          <m:t> </m:t>
        </m:r>
        <m:sSub>
          <m:e>
            <m:r>
              <m:rPr>
                <m:nor/>
                <m:sty m:val="p"/>
              </m:rPr>
              <m:t>Na</m:t>
            </m:r>
          </m:e>
          <m:sub>
            <m:r>
              <m:t>2</m:t>
            </m:r>
          </m:sub>
        </m:sSub>
        <m:sSub>
          <m:e>
            <m:r>
              <m:rPr>
                <m:nor/>
                <m:sty m:val="p"/>
              </m:rPr>
              <m:t>CO</m:t>
            </m:r>
          </m:e>
          <m:sub>
            <m:r>
              <m:t>3</m:t>
            </m:r>
          </m:sub>
        </m:sSub>
        <m:r>
          <m:rPr>
            <m:sty m:val="p"/>
          </m:rPr>
          <m:t>•</m:t>
        </m:r>
        <m:r>
          <m:t>10</m:t>
        </m:r>
        <m:sSub>
          <m:e>
            <m:r>
              <m:rPr>
                <m:nor/>
                <m:sty m:val="p"/>
              </m:rPr>
              <m:t>H</m:t>
            </m:r>
          </m:e>
          <m:sub>
            <m:r>
              <m:t>2</m:t>
            </m:r>
          </m:sub>
        </m:sSub>
        <m:r>
          <m:rPr>
            <m:nor/>
            <m:sty m:val="p"/>
          </m:rPr>
          <m:t>O</m:t>
        </m:r>
      </m:oMath>
    </w:p>
    <w:bookmarkEnd w:id="40"/>
    <w:p>
      <w:pPr>
        <w:pStyle w:val="TextBody"/>
      </w:pPr>
      <w:r>
        <w:t xml:space="preserve">Forskeyti í nafnakerfum</w:t>
      </w:r>
    </w:p>
    <w:bookmarkStart w:id="41" w:name="fs-idp26840036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Númer</w:t>
            </w:r>
          </w:p>
        </w:tc>
        <w:tc>
          <w:tcPr/>
          <w:p>
            <w:pPr>
              <w:pStyle w:val="Compact"/>
              <w:jc w:val="left"/>
            </w:pPr>
            <w:r>
              <w:t>Forskeyti</w:t>
            </w:r>
          </w:p>
        </w:tc>
        <w:tc>
          <w:tcPr/>
          <w:p>
            <w:pPr>
              <w:pStyle w:val="Compact"/>
              <w:jc w:val="left"/>
            </w:pPr>
            <w:r>
              <w:t>Númer</w:t>
            </w:r>
          </w:p>
        </w:tc>
        <w:tc>
          <w:tcPr/>
          <w:p>
            <w:pPr>
              <w:pStyle w:val="Compact"/>
              <w:jc w:val="left"/>
            </w:pPr>
            <w:r>
              <w:t>Forskeyti</w:t>
            </w:r>
          </w:p>
        </w:tc>
      </w:tr>
      <w:tr>
        <w:tc>
          <w:tcPr/>
          <w:p>
            <w:pPr>
              <w:pStyle w:val="Compact"/>
              <w:jc w:val="left"/>
            </w:pPr>
            <w:r>
              <w:t xml:space="preserve">1 (stundum sleppt)</w:t>
            </w:r>
          </w:p>
        </w:tc>
        <w:tc>
          <w:tcPr/>
          <w:p>
            <w:pPr>
              <w:pStyle w:val="Compact"/>
              <w:jc w:val="left"/>
            </w:pPr>
            <w:r>
              <w:t>mónó-</w:t>
            </w:r>
          </w:p>
        </w:tc>
        <w:tc>
          <w:tcPr/>
          <w:p>
            <w:pPr>
              <w:pStyle w:val="Compact"/>
              <w:jc w:val="left"/>
            </w:pPr>
            <w:r>
              <w:t>6</w:t>
            </w:r>
          </w:p>
        </w:tc>
        <w:tc>
          <w:tcPr/>
          <w:p>
            <w:pPr>
              <w:pStyle w:val="Compact"/>
              <w:jc w:val="left"/>
            </w:pPr>
            <w:r>
              <w:t>hexa-</w:t>
            </w:r>
          </w:p>
        </w:tc>
      </w:tr>
      <w:tr>
        <w:tc>
          <w:tcPr/>
          <w:p>
            <w:pPr>
              <w:pStyle w:val="Compact"/>
              <w:jc w:val="left"/>
            </w:pPr>
            <w:r>
              <w:t>2</w:t>
            </w:r>
          </w:p>
        </w:tc>
        <w:tc>
          <w:tcPr/>
          <w:p>
            <w:pPr>
              <w:pStyle w:val="Compact"/>
              <w:jc w:val="left"/>
            </w:pPr>
            <w:r>
              <w:t>dí-</w:t>
            </w:r>
          </w:p>
        </w:tc>
        <w:tc>
          <w:tcPr/>
          <w:p>
            <w:pPr>
              <w:pStyle w:val="Compact"/>
              <w:jc w:val="left"/>
            </w:pPr>
            <w:r>
              <w:t>7</w:t>
            </w:r>
          </w:p>
        </w:tc>
        <w:tc>
          <w:tcPr/>
          <w:p>
            <w:pPr>
              <w:pStyle w:val="Compact"/>
              <w:jc w:val="left"/>
            </w:pPr>
            <w:r>
              <w:t>hepta-</w:t>
            </w:r>
          </w:p>
        </w:tc>
      </w:tr>
      <w:tr>
        <w:tc>
          <w:tcPr/>
          <w:p>
            <w:pPr>
              <w:pStyle w:val="Compact"/>
              <w:jc w:val="left"/>
            </w:pPr>
            <w:r>
              <w:t>3</w:t>
            </w:r>
          </w:p>
        </w:tc>
        <w:tc>
          <w:tcPr/>
          <w:p>
            <w:pPr>
              <w:pStyle w:val="Compact"/>
              <w:jc w:val="left"/>
            </w:pPr>
            <w:r>
              <w:t>trí-</w:t>
            </w:r>
          </w:p>
        </w:tc>
        <w:tc>
          <w:tcPr/>
          <w:p>
            <w:pPr>
              <w:pStyle w:val="Compact"/>
              <w:jc w:val="left"/>
            </w:pPr>
            <w:r>
              <w:t>8</w:t>
            </w:r>
          </w:p>
        </w:tc>
        <w:tc>
          <w:tcPr/>
          <w:p>
            <w:pPr>
              <w:pStyle w:val="Compact"/>
              <w:jc w:val="left"/>
            </w:pPr>
            <w:r>
              <w:t>októ-</w:t>
            </w:r>
          </w:p>
        </w:tc>
      </w:tr>
      <w:tr>
        <w:tc>
          <w:tcPr/>
          <w:p>
            <w:pPr>
              <w:pStyle w:val="Compact"/>
              <w:jc w:val="left"/>
            </w:pPr>
            <w:r>
              <w:t>4</w:t>
            </w:r>
          </w:p>
        </w:tc>
        <w:tc>
          <w:tcPr/>
          <w:p>
            <w:pPr>
              <w:pStyle w:val="Compact"/>
              <w:jc w:val="left"/>
            </w:pPr>
            <w:r>
              <w:t>tetra-</w:t>
            </w:r>
          </w:p>
        </w:tc>
        <w:tc>
          <w:tcPr/>
          <w:p>
            <w:pPr>
              <w:pStyle w:val="Compact"/>
              <w:jc w:val="left"/>
            </w:pPr>
            <w:r>
              <w:t>9</w:t>
            </w:r>
          </w:p>
        </w:tc>
        <w:tc>
          <w:tcPr/>
          <w:p>
            <w:pPr>
              <w:pStyle w:val="Compact"/>
              <w:jc w:val="left"/>
            </w:pPr>
            <w:r>
              <w:t>nona-</w:t>
            </w:r>
          </w:p>
        </w:tc>
      </w:tr>
      <w:tr>
        <w:tc>
          <w:tcPr/>
          <w:p>
            <w:pPr>
              <w:pStyle w:val="Compact"/>
              <w:jc w:val="left"/>
            </w:pPr>
            <w:r>
              <w:t>5</w:t>
            </w:r>
          </w:p>
        </w:tc>
        <w:tc>
          <w:tcPr/>
          <w:p>
            <w:pPr>
              <w:pStyle w:val="Compact"/>
              <w:jc w:val="left"/>
            </w:pPr>
            <w:r>
              <w:t>penta-</w:t>
            </w:r>
          </w:p>
        </w:tc>
        <w:tc>
          <w:tcPr/>
          <w:p>
            <w:pPr>
              <w:pStyle w:val="Compact"/>
              <w:jc w:val="left"/>
            </w:pPr>
            <w:r>
              <w:t>10</w:t>
            </w:r>
          </w:p>
        </w:tc>
        <w:tc>
          <w:tcPr/>
          <w:p>
            <w:pPr>
              <w:pStyle w:val="Compact"/>
              <w:jc w:val="left"/>
            </w:pPr>
            <w:r>
              <w:t>deca-</w:t>
            </w:r>
          </w:p>
        </w:tc>
      </w:tr>
    </w:tbl>
    <w:bookmarkEnd w:id="41"/>
    <w:p>
      <w:pPr>
        <w:pStyle w:val="TextBody"/>
      </w:pPr>
      <w:r>
        <w:t xml:space="preserve">Tafla  2.10    </w:t>
      </w:r>
    </w:p>
    <w:bookmarkStart w:id="43" w:name="fs-idm194224"/>
    <w:p>
      <w:pPr>
        <w:pStyle w:val="Heading3Grey"/>
      </w:pPr>
      <w:r>
        <w:t xml:space="preserve">Dæmi  2.13  </w:t>
      </w:r>
    </w:p>
    <w:p>
      <w:pPr>
        <w:pStyle w:val="Heading4Grey"/>
      </w:pPr>
      <w:r>
        <w:t xml:space="preserve">Nafngift jónaefna</w:t>
      </w:r>
    </w:p>
    <w:p>
      <w:pPr>
        <w:pStyle w:val="NoteExampleGrey"/>
      </w:pPr>
      <w:r>
        <w:t xml:space="preserve">Nefndu eftirfarandi jónaefni</w:t>
      </w:r>
    </w:p>
    <w:p>
      <w:pPr>
        <w:pStyle w:val="NoteExampleGrey"/>
      </w:pPr>
      <w:r>
        <w:t xml:space="preserve">(a) Fe</w:t>
      </w:r>
      <w:r>
        <w:rPr>
          <w:vertAlign w:val="subscript"/>
        </w:rPr>
        <w:t>2</w:t>
      </w:r>
      <w:r>
        <w:t>S</w:t>
      </w:r>
      <w:r>
        <w:rPr>
          <w:vertAlign w:val="subscript"/>
        </w:rPr>
        <w:t>3</w:t>
      </w:r>
    </w:p>
    <w:p>
      <w:pPr>
        <w:pStyle w:val="NoteExampleGrey"/>
      </w:pPr>
      <w:r>
        <w:t xml:space="preserve">(b) CuSe</w:t>
      </w:r>
    </w:p>
    <w:p>
      <w:pPr>
        <w:pStyle w:val="NoteExampleGrey"/>
      </w:pPr>
      <w:r>
        <w:t xml:space="preserve">(c) GaN</w:t>
      </w:r>
    </w:p>
    <w:p>
      <w:pPr>
        <w:pStyle w:val="NoteExampleGrey"/>
      </w:pPr>
      <w:r>
        <w:t xml:space="preserve">(d) MgSO</w:t>
      </w:r>
      <w:r>
        <w:rPr>
          <w:vertAlign w:val="subscript"/>
        </w:rPr>
        <w:t>4</w:t>
      </w:r>
      <w:r>
        <w:t xml:space="preserve">· 7H</w:t>
      </w:r>
      <w:r>
        <w:rPr>
          <w:vertAlign w:val="subscript"/>
        </w:rPr>
        <w:t>2</w:t>
      </w:r>
      <w:r>
        <w:t>O</w:t>
      </w:r>
    </w:p>
    <w:p>
      <w:pPr>
        <w:pStyle w:val="NoteExampleGrey"/>
      </w:pPr>
      <w:r>
        <w:t xml:space="preserve">e) Ti</w:t>
      </w:r>
      <w:r>
        <w:rPr>
          <w:vertAlign w:val="subscript"/>
        </w:rPr>
        <w:t>2</w:t>
      </w:r>
      <w:r>
        <w:t>(SO</w:t>
      </w:r>
      <w:r>
        <w:rPr>
          <w:vertAlign w:val="subscript"/>
        </w:rPr>
        <w:t>4</w:t>
      </w:r>
      <w:r>
        <w:t>)</w:t>
      </w:r>
      <w:r>
        <w:rPr>
          <w:vertAlign w:val="subscript"/>
        </w:rPr>
        <w:t>3</w:t>
      </w:r>
    </w:p>
    <w:p>
      <w:pPr>
        <w:pStyle w:val="Heading4Grey"/>
      </w:pPr>
      <w:r>
        <w:t>Lausn</w:t>
      </w:r>
    </w:p>
    <w:p>
      <w:pPr>
        <w:pStyle w:val="NoteExampleGrey"/>
      </w:pPr>
      <w:r>
        <w:t xml:space="preserve">Anjónirnar í þessum efnasamböndum hafa fasta neikvæða hleðslu (S</w:t>
      </w:r>
      <w:r>
        <w:rPr>
          <w:vertAlign w:val="superscript"/>
        </w:rPr>
        <w:t>2−</w:t>
      </w:r>
      <w:r>
        <w:t xml:space="preserve">, Se</w:t>
      </w:r>
      <w:r>
        <w:rPr>
          <w:vertAlign w:val="superscript"/>
        </w:rPr>
        <w:t>2−</w:t>
      </w:r>
      <w:r>
        <w:t xml:space="preserve">, N</w:t>
      </w:r>
      <w:r>
        <w:rPr>
          <w:vertAlign w:val="superscript"/>
        </w:rPr>
        <w:t>3−</w:t>
      </w:r>
      <w:r>
        <w:t xml:space="preserve"> og </w:t>
      </w:r>
      <m:oMath>
        <m:sSub>
          <m:e>
            <m:r>
              <m:rPr>
                <m:nor/>
                <m:sty m:val="p"/>
              </m:rPr>
              <m:t>SO</m:t>
            </m:r>
          </m:e>
          <m:sub>
            <m:r>
              <m:t>4</m:t>
            </m:r>
          </m:sub>
        </m:sSub>
        <m:sSup>
          <m:e>
            <m:r>
              <m:t>​</m:t>
            </m:r>
          </m:e>
          <m:sup>
            <m:r>
              <m:t>2</m:t>
            </m:r>
            <m:r>
              <m:rPr>
                <m:sty m:val="p"/>
              </m:rPr>
              <m:t>−</m:t>
            </m:r>
          </m:sup>
        </m:sSup>
        <m:r>
          <m:rPr>
            <m:sty m:val="p"/>
          </m:rPr>
          <m:t>)</m:t>
        </m:r>
        <m:r>
          <m:rPr>
            <m:sty m:val="p"/>
          </m:rPr>
          <m:t>,</m:t>
        </m:r>
      </m:oMath>
      <w:r>
        <w:t xml:space="preserve"> og efnasamböndin verða að vera hlutlaus. Þar sem heildarfjöldi jákvæðra hleðslna í hverju efnasambandi verður að vera jafn heildarfjölda neikvæðra hleðslna verða jákvæðu jónirnar að vera Fe</w:t>
      </w:r>
      <w:r>
        <w:rPr>
          <w:vertAlign w:val="superscript"/>
        </w:rPr>
        <w:t>3+</w:t>
      </w:r>
      <w:r>
        <w:t xml:space="preserve">, Cu</w:t>
      </w:r>
      <w:r>
        <w:rPr>
          <w:vertAlign w:val="superscript"/>
        </w:rPr>
        <w:t>2+</w:t>
      </w:r>
      <w:r>
        <w:t xml:space="preserve">, Ga</w:t>
      </w:r>
      <w:r>
        <w:rPr>
          <w:vertAlign w:val="superscript"/>
        </w:rPr>
        <w:t>3+</w:t>
      </w:r>
      <w:r>
        <w:t xml:space="preserve">, Mg</w:t>
      </w:r>
      <w:r>
        <w:rPr>
          <w:vertAlign w:val="superscript"/>
        </w:rPr>
        <w:t>2+</w:t>
      </w:r>
      <w:r>
        <w:t xml:space="preserve"> og Ti</w:t>
      </w:r>
      <w:r>
        <w:rPr>
          <w:vertAlign w:val="superscript"/>
        </w:rPr>
        <w:t>3+</w:t>
      </w:r>
      <w:r>
        <w:t xml:space="preserve">. Þessar hleðslur eru notaðar í nöfnum málmjónanna:</w:t>
      </w:r>
    </w:p>
    <w:p>
      <w:pPr>
        <w:pStyle w:val="NoteExampleGrey"/>
      </w:pPr>
      <w:r>
        <w:t xml:space="preserve">(a) járn(III)súlfíð</w:t>
      </w:r>
    </w:p>
    <w:p>
      <w:pPr>
        <w:pStyle w:val="NoteExampleGrey"/>
      </w:pPr>
      <w:r>
        <w:t xml:space="preserve">(b) kopar(II)seleníð</w:t>
      </w:r>
    </w:p>
    <w:p>
      <w:pPr>
        <w:pStyle w:val="NoteExampleGrey"/>
      </w:pPr>
      <w:r>
        <w:t xml:space="preserve">(c) gallíum(III)nítríð</w:t>
      </w:r>
    </w:p>
    <w:p>
      <w:pPr>
        <w:pStyle w:val="NoteExampleGrey"/>
      </w:pPr>
      <w:r>
        <w:t xml:space="preserve">(d) magnesíumsúlfat heptahýdrat</w:t>
      </w:r>
    </w:p>
    <w:p>
      <w:pPr>
        <w:pStyle w:val="NoteExampleGrey"/>
      </w:pPr>
      <w:r>
        <w:t xml:space="preserve">(e) títan(III)súlfat</w:t>
      </w:r>
    </w:p>
    <w:p>
      <w:pPr>
        <w:pStyle w:val="Heading4Grey"/>
      </w:pPr>
      <w:r>
        <w:t xml:space="preserve">Kannaðu þekkingu þína</w:t>
      </w:r>
    </w:p>
    <w:p>
      <w:pPr>
        <w:pStyle w:val="NoteExampleGrey"/>
      </w:pPr>
      <w:r>
        <w:t xml:space="preserve">Skrifaðu formúlur eftirfarandi jónaefna:</w:t>
      </w:r>
    </w:p>
    <w:p>
      <w:pPr>
        <w:pStyle w:val="NoteExampleGrey"/>
      </w:pPr>
      <w:r>
        <w:t xml:space="preserve">(a) króm(III)fosfíð</w:t>
      </w:r>
    </w:p>
    <w:p>
      <w:pPr>
        <w:pStyle w:val="NoteExampleGrey"/>
      </w:pPr>
      <w:r>
        <w:t xml:space="preserve">(b) kvikasilfur(II)súlfíð</w:t>
      </w:r>
    </w:p>
    <w:p>
      <w:pPr>
        <w:pStyle w:val="NoteExampleGrey"/>
      </w:pPr>
      <w:r>
        <w:t xml:space="preserve">(c) mangan(II)fosfat</w:t>
      </w:r>
    </w:p>
    <w:p>
      <w:pPr>
        <w:pStyle w:val="NoteExampleGrey"/>
      </w:pPr>
      <w:r>
        <w:t xml:space="preserve">(d) kopar(I)oxíð</w:t>
      </w:r>
    </w:p>
    <w:p>
      <w:pPr>
        <w:pStyle w:val="NoteExampleGrey"/>
      </w:pPr>
      <w:r>
        <w:t xml:space="preserve">(e) járn(III)klóríð díhýdrat</w:t>
      </w:r>
    </w:p>
    <w:bookmarkStart w:id="42" w:name="fs-idp268148048"/>
    <w:p>
      <w:pPr>
        <w:pStyle w:val="Heading3Grey"/>
      </w:pPr>
      <w:r>
        <w:t>Svar:</w:t>
      </w:r>
    </w:p>
    <w:p>
      <w:pPr>
        <w:pStyle w:val="NoteExampleGrey"/>
      </w:pPr>
      <w:r>
        <w:t xml:space="preserve">(a) CrP; (b) HgS; (c) Mn</w:t>
      </w:r>
      <w:r>
        <w:rPr>
          <w:vertAlign w:val="subscript"/>
        </w:rPr>
        <w:t>3</w:t>
      </w:r>
      <w:r>
        <w:t>(PO</w:t>
      </w:r>
      <w:r>
        <w:rPr>
          <w:vertAlign w:val="subscript"/>
        </w:rPr>
        <w:t>4</w:t>
      </w:r>
      <w:r>
        <w:t>)</w:t>
      </w:r>
      <w:r>
        <w:rPr>
          <w:vertAlign w:val="subscript"/>
        </w:rPr>
        <w:t>2</w:t>
      </w:r>
      <w:r>
        <w:t xml:space="preserve">; (d) Cu</w:t>
      </w:r>
      <w:r>
        <w:rPr>
          <w:vertAlign w:val="subscript"/>
        </w:rPr>
        <w:t>2</w:t>
      </w:r>
      <w:r>
        <w:t xml:space="preserve">O; (e) FeCl</w:t>
      </w:r>
      <w:r>
        <w:rPr>
          <w:vertAlign w:val="subscript"/>
        </w:rPr>
        <w:t>3</w:t>
      </w:r>
      <w:r>
        <w:t>·2H</w:t>
      </w:r>
      <w:r>
        <w:rPr>
          <w:vertAlign w:val="subscript"/>
        </w:rPr>
        <w:t>2</w:t>
      </w:r>
      <w:r>
        <w:t>O</w:t>
      </w:r>
    </w:p>
    <w:bookmarkEnd w:id="42"/>
    <w:bookmarkEnd w:id="43"/>
    <w:p>
      <w:pPr>
        <w:pStyle w:val="SmallWhiteGap"/>
      </w:pPr>
      <w:r>
        <w:t xml:space="preserve"> </w:t>
      </w:r>
    </w:p>
    <w:bookmarkStart w:id="48" w:name="fs-idm8768"/>
    <w:p>
      <w:pPr>
        <w:pStyle w:val="Heading3Grey"/>
      </w:pPr>
      <w:r>
        <w:t xml:space="preserve">Efnafræði í daglegu lífi</w:t>
      </w:r>
    </w:p>
    <w:p>
      <w:pPr>
        <w:pStyle w:val="Heading4Grey"/>
      </w:pPr>
      <w:r>
        <w:t xml:space="preserve">Erin Brockovich og krómmengun</w:t>
      </w:r>
    </w:p>
    <w:p>
      <w:pPr>
        <w:pStyle w:val="NoteExampleGrey"/>
      </w:pPr>
      <w:r>
        <w:t xml:space="preserve">Í upphafi tíunda áratugarins uppgötvaði lögfræðiritarinn Erin Brockovich (</w:t>
      </w:r>
      <w:hyperlink w:anchor="CNX_Chem_02_07_ErinBrocko">
        <w:r>
          <w:rPr>
            <w:rStyle w:val="InternetLink"/>
          </w:rPr>
          <w:t xml:space="preserve">mynd 2.32</w:t>
        </w:r>
      </w:hyperlink>
      <w:r>
        <w:t xml:space="preserve">) háa tíðni alvarlegra veikinda í smábænum Hinckley í Kaliforníu. Rannsókn hennar tengdi að lokum veikindin við grunnvatn sem var mengað af Cr(VI) sem Pacific Gas &amp; Electric (PG&amp;E) notaði til að berjast gegn tæringu í nálægri jarðgasleiðslu. Eins og fram kom í kvikmyndinni </w:t>
      </w:r>
      <w:r>
        <w:rPr>
          <w:i/>
        </w:rPr>
        <w:t xml:space="preserve">Erin Brockovich</w:t>
      </w:r>
      <w:r>
        <w:t xml:space="preserve"> (sem Julia Roberts vann Óskarsverðlaun fyrir), stefndu Erin og lögfræðingurinn Edward Masry PG&amp;E fyrir að menga vatnið nálægt Hinckley árið 1993. Sáttin sem þau unnu árið 1996 – 333 milljónir dala – var hæsta upphæð sem nokkru sinni hafði verið veitt í beinni málsókn í Bandaríkjunum á þeim tíma.</w:t>
      </w:r>
    </w:p>
    <w:tbl>
      <w:tblPr>
        <w:tblStyle w:val="FigureTable"/>
        <w:tblW w:type="auto" w:w="0"/>
        <w:tblLook w:firstRow="0" w:lastRow="0" w:firstColumn="0" w:lastColumn="0"/>
        <w:jc w:val="center"/>
      </w:tblPr>
      <w:tblGrid>
        <w:gridCol w:w="7920"/>
      </w:tblGrid>
      <w:tr>
        <w:tc>
          <w:tcPr/>
          <w:p>
            <w:pPr>
              <w:pStyle w:val="Compact"/>
              <w:jc w:val="center"/>
            </w:pPr>
            <w:bookmarkStart w:id="47" w:name="fs-idp282351072"/>
            <w:r>
              <w:t xml:space="preserve"> </w:t>
              <w:drawing>
                <wp:inline>
                  <wp:extent cx="5486400" cy="2043683"/>
                  <wp:effectExtent b="0" l="0" r="0" t="0"/>
                  <wp:docPr descr="Figure A shows a photo of Erin Brockovich. Figure B shows a 3-D ball-and-stick model of chromate. Chromate has a chromium atom at its center that forms bonds with four oxygen atoms each. Two of the oxygen atoms form single bonds with the chromium atom while the other two form double bonds each. The structure of dichromate consists of two chromate ions that are bonded and share one of their oxygen atoms to which each chromate atom has a single bond." title="" id="45" name="Picture"/>
                  <a:graphic>
                    <a:graphicData uri="http://schemas.openxmlformats.org/drawingml/2006/picture">
                      <pic:pic>
                        <pic:nvPicPr>
                          <pic:cNvPr descr="../resources/e3de730b6821263a2db9f049965c0e6318dc1771" id="46" name="Picture"/>
                          <pic:cNvPicPr>
                            <a:picLocks noChangeArrowheads="1" noChangeAspect="1"/>
                          </pic:cNvPicPr>
                        </pic:nvPicPr>
                        <pic:blipFill>
                          <a:blip r:embed="rId44"/>
                          <a:stretch>
                            <a:fillRect/>
                          </a:stretch>
                        </pic:blipFill>
                        <pic:spPr bwMode="auto">
                          <a:xfrm>
                            <a:off x="0" y="0"/>
                            <a:ext cx="5486400" cy="2043683"/>
                          </a:xfrm>
                          <a:prstGeom prst="rect">
                            <a:avLst/>
                          </a:prstGeom>
                          <a:noFill/>
                          <a:ln w="9525">
                            <a:noFill/>
                            <a:headEnd/>
                            <a:tailEnd/>
                          </a:ln>
                        </pic:spPr>
                      </pic:pic>
                    </a:graphicData>
                  </a:graphic>
                </wp:inline>
              </w:drawing>
              <w:t xml:space="preserve"> </w:t>
            </w:r>
            <w:bookmarkEnd w:id="47"/>
          </w:p>
        </w:tc>
      </w:tr>
    </w:tbl>
    <w:p>
      <w:pPr>
        <w:pStyle w:val="NoteExampleGrey"/>
      </w:pPr>
      <w:r>
        <w:t xml:space="preserve">Mynd  2.32   (a) Erin Brockovich komst að því að Cr(VI), sem PG&amp;E notaði, hafði mengað vatnsveituna í Hinckley í Kaliforníu. (b) Cr(VI) jónin er oft til staðar í vatni sem fjölatóma jónirnar krómat, </w:t>
      </w:r>
      <m:oMath>
        <m:sSub>
          <m:e>
            <m:r>
              <m:rPr>
                <m:nor/>
                <m:sty m:val="p"/>
              </m:rPr>
              <m:t>CrO</m:t>
            </m:r>
          </m:e>
          <m:sub>
            <m:r>
              <m:t>4</m:t>
            </m:r>
          </m:sub>
        </m:sSub>
        <m:sSup>
          <m:e>
            <m:r>
              <m:t>​</m:t>
            </m:r>
          </m:e>
          <m:sup>
            <m:r>
              <m:t>2</m:t>
            </m:r>
            <m:r>
              <m:rPr>
                <m:sty m:val="p"/>
              </m:rPr>
              <m:t>−</m:t>
            </m:r>
          </m:sup>
        </m:sSup>
      </m:oMath>
      <w:r>
        <w:t xml:space="preserve"> (vinstri), og díkrómat, </w:t>
      </w:r>
      <m:oMath>
        <m:sSub>
          <m:e>
            <m:r>
              <m:rPr>
                <m:nor/>
                <m:sty m:val="p"/>
              </m:rPr>
              <m:t>Cr</m:t>
            </m:r>
          </m:e>
          <m:sub>
            <m:r>
              <m:t>2</m:t>
            </m:r>
          </m:sub>
        </m:sSub>
        <m:sSub>
          <m:e>
            <m:r>
              <m:rPr>
                <m:nor/>
                <m:sty m:val="p"/>
              </m:rPr>
              <m:t>O</m:t>
            </m:r>
          </m:e>
          <m:sub>
            <m:r>
              <m:t>7</m:t>
            </m:r>
          </m:sub>
        </m:sSub>
        <m:sSup>
          <m:e>
            <m:r>
              <m:t>​</m:t>
            </m:r>
          </m:e>
          <m:sup>
            <m:r>
              <m:t>2</m:t>
            </m:r>
            <m:r>
              <m:rPr>
                <m:sty m:val="p"/>
              </m:rPr>
              <m:t>−</m:t>
            </m:r>
          </m:sup>
        </m:sSup>
      </m:oMath>
      <w:r>
        <w:t xml:space="preserve"> (hægri).</w:t>
      </w:r>
    </w:p>
    <w:p>
      <w:pPr>
        <w:pStyle w:val="NoteExampleGrey"/>
      </w:pPr>
      <w:r>
        <w:t xml:space="preserve">Krómsambönd eru mikið notuð í iðnaði, svo sem við krómhúðun, í litagerð, sem rotvarnarefni og til að koma í veg fyrir tæringu í kæliturnavatni, eins og gerðist nálægt Hinckley. Í umhverfinu er króm aðallega til staðar á Cr(III) eða Cr(VI) formi. Cr(III), sem er innihaldsefni í mörgum vítamínum og fæðubótarefnum, myndar efnasambönd sem eru ekki mjög auðleyst í vatni og hefur litla eiturvirkni. En Cr(VI) er mun eitraðra og myndar efnasambönd sem eru nokkuð auðleyst í vatni. Útsetning fyrir litlu magni af Cr(VI) getur leitt til skemmda á öndunarfærum, meltingarvegi og ónæmiskerfi, auk nýrna, lifrar, blóðs og húðar.</w:t>
      </w:r>
    </w:p>
    <w:p>
      <w:pPr>
        <w:pStyle w:val="NoteExampleGrey"/>
      </w:pPr>
      <w:r>
        <w:t xml:space="preserve">Þrátt fyrir hreinsunaraðgerðir er Cr(VI) mengun í grunnvatni enn vandamál í Hinckley og víðar um heiminn. Rannsókn frá 2010 sem Environmental Working Group gerði leiddi í ljós að af 35 bandarískum borgum sem prófaðar voru, höfðu 31 hærra magn af Cr(VI) í kranavatni sínu en lýðheilsumarkmiðið 0,02 hlutar á milljarð sem Umhverfisverndarstofnun Kaliforníu setti.</w:t>
      </w:r>
    </w:p>
    <w:bookmarkEnd w:id="48"/>
    <w:bookmarkEnd w:id="49"/>
    <w:bookmarkEnd w:id="50"/>
    <w:bookmarkStart w:id="52" w:name="fs-idp279151472"/>
    <w:bookmarkStart w:id="51" w:name="molecular-covalent-compounds"/>
    <w:p>
      <w:pPr>
        <w:pStyle w:val="Heading3"/>
      </w:pPr>
      <w:r>
        <w:t xml:space="preserve">Sameindasambönd (samgild efnasambönd)</w:t>
      </w:r>
    </w:p>
    <w:p>
      <w:pPr>
        <w:pStyle w:val="FirstParagraph"/>
      </w:pPr>
      <w:r>
        <w:t xml:space="preserve">Tengiseiginleikar ólífrænna sameindasambanda eru frábrugðnir jónaefnum og þau eru einnig nefnd með öðru kerfi. Hleðslur katjóna og anjóna ráða hlutföllum þeirra í jónaefnum, þannig að það að tilgreina nöfn jónanna veitir nægar upplýsingar til að ákvarða efnaformúlur. Hins vegar, þar sem samgild tengi leyfa verulegan breytileika í samsetningarhlutföllum atóma í sameind, verða nöfn sameindasambanda að tilgreina þessi hlutföll með skýrum hætti.</w:t>
      </w:r>
    </w:p>
    <w:bookmarkEnd w:id="51"/>
    <w:bookmarkEnd w:id="52"/>
    <w:bookmarkStart w:id="59" w:name="fs-idp268165696"/>
    <w:bookmarkStart w:id="58" w:name="compounds-composed-of-two-elements"/>
    <w:p>
      <w:pPr>
        <w:pStyle w:val="Heading3"/>
      </w:pPr>
      <w:r>
        <w:t xml:space="preserve">Efnasambönd samsett úr tveimur frumefnum</w:t>
      </w:r>
    </w:p>
    <w:p>
      <w:pPr>
        <w:pStyle w:val="FirstParagraph"/>
      </w:pPr>
      <w:r>
        <w:t xml:space="preserve">Þegar tvö frumefni sem eru málmleysingjar mynda sameindasamband eru oft nokkur samsetningarhlutföll möguleg. Til dæmis geta kolefni og súrefni myndað efnasamböndin CO og CO</w:t>
      </w:r>
      <w:r>
        <w:rPr>
          <w:vertAlign w:val="subscript"/>
        </w:rPr>
        <w:t>2</w:t>
      </w:r>
      <w:r>
        <w:t xml:space="preserve">. Þar sem þetta eru mismunandi efni með mismunandi eiginleika geta þau ekki bæði haft sama nafn (þau geta ekki bæði verið kölluð kolefnisoxíð). Til að takast á við þetta ástand notum við nafngiftaraðferð sem er nokkuð svipuð þeirri sem notuð er fyrir jónaefni, en með viðbættum forskeytum til að tilgreina fjölda atóma hvers frumefnis. Nafn málmkenndara frumefnisins (þess sem er lengra til vinstri og/eða neðar í lotukerfinu) kemur fyrst, á eftir kemur nafn þess frumefnis sem er meiri málmleysingi (þess sem er lengra til hægri og/eða ofar) með endingunni breytt í viðskeytið –</w:t>
      </w:r>
      <w:r>
        <w:rPr>
          <w:i/>
        </w:rPr>
        <w:t>íð</w:t>
      </w:r>
      <w:r>
        <w:t xml:space="preserve">. Fjöldi atóma hvers frumefnis er táknaður með grísku forskeytunum sem sýnd eru í </w:t>
      </w:r>
      <w:hyperlink w:anchor="fs-idp268400368">
        <w:r>
          <w:rPr>
            <w:rStyle w:val="InternetLink"/>
          </w:rPr>
          <w:t xml:space="preserve">töflu 2.10</w:t>
        </w:r>
      </w:hyperlink>
      <w:r>
        <w:t>.</w:t>
      </w:r>
    </w:p>
    <w:p>
      <w:pPr>
        <w:pStyle w:val="TextBody"/>
      </w:pPr>
      <w:r>
        <w:t xml:space="preserve">Þegar aðeins eitt atóm af fyrsta frumefninu er til staðar er forskeytinu </w:t>
      </w:r>
      <w:r>
        <w:rPr>
          <w:i/>
        </w:rPr>
        <w:t>mónó</w:t>
      </w:r>
      <w:r>
        <w:t xml:space="preserve">- venjulega sleppt úr þeim hluta. Þannig er CO nefnt kolmónoxíð og CO</w:t>
      </w:r>
      <w:r>
        <w:rPr>
          <w:vertAlign w:val="subscript"/>
        </w:rPr>
        <w:t>2</w:t>
      </w:r>
      <w:r>
        <w:t xml:space="preserve"> er kallað koldíoxíð. Þegar tveir sérhljóðar eru samliggjandi er endasérhljóðinn í gríska forskeytinu stundum felldur brott, þótt leiðbeiningar IUPAC leyfi þetta aðeins fyrir tvöfalda stafinn o í </w:t>
      </w:r>
      <w:r>
        <w:rPr>
          <w:i/>
        </w:rPr>
        <w:t>mónóoxíð</w:t>
      </w:r>
      <w:r>
        <w:t xml:space="preserve">, sem er rétt skrifað sem </w:t>
      </w:r>
      <w:r>
        <w:rPr>
          <w:i/>
        </w:rPr>
        <w:t>mónoxíð</w:t>
      </w:r>
      <w:r>
        <w:t xml:space="preserve">. Í nafngiftaræfingum í þessum texta geta nemendur valið að fylgja hvorri aðferðinni sem er. Nokkur önnur dæmi eru sýnd í </w:t>
      </w:r>
      <w:hyperlink w:anchor="fs-idp269568176">
        <w:r>
          <w:rPr>
            <w:rStyle w:val="InternetLink"/>
          </w:rPr>
          <w:t xml:space="preserve">töflu 2.11</w:t>
        </w:r>
      </w:hyperlink>
      <w:r>
        <w:t>.</w:t>
      </w:r>
    </w:p>
    <w:p>
      <w:pPr>
        <w:pStyle w:val="TextBody"/>
      </w:pPr>
      <w:r>
        <w:t xml:space="preserve">Nöfn nokkurra sameindaefna sem samsett eru úr tveimur frumefnum</w:t>
      </w:r>
    </w:p>
    <w:bookmarkStart w:id="53" w:name="fs-idp26956817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Efnasamband</w:t>
            </w:r>
          </w:p>
        </w:tc>
        <w:tc>
          <w:tcPr/>
          <w:p>
            <w:pPr>
              <w:pStyle w:val="Compact"/>
              <w:jc w:val="left"/>
            </w:pPr>
            <w:r>
              <w:t>Heiti</w:t>
            </w:r>
          </w:p>
        </w:tc>
        <w:tc>
          <w:tcPr/>
          <w:p>
            <w:pPr>
              <w:pStyle w:val="Compact"/>
              <w:jc w:val="left"/>
            </w:pPr>
            <w:r>
              <w:t>Efnasamband</w:t>
            </w:r>
          </w:p>
        </w:tc>
        <w:tc>
          <w:tcPr/>
          <w:p>
            <w:pPr>
              <w:pStyle w:val="Compact"/>
              <w:jc w:val="left"/>
            </w:pPr>
            <w:r>
              <w:t>Heiti</w:t>
            </w:r>
          </w:p>
        </w:tc>
      </w:tr>
      <w:tr>
        <w:tc>
          <w:tcPr/>
          <w:p>
            <w:pPr>
              <w:pStyle w:val="Compact"/>
              <w:jc w:val="left"/>
            </w:pPr>
            <w:r>
              <w:t>SO</w:t>
            </w:r>
            <w:r>
              <w:rPr>
                <w:vertAlign w:val="subscript"/>
              </w:rPr>
              <w:t>2</w:t>
            </w:r>
          </w:p>
        </w:tc>
        <w:tc>
          <w:tcPr/>
          <w:p>
            <w:pPr>
              <w:pStyle w:val="Compact"/>
              <w:jc w:val="left"/>
            </w:pPr>
            <w:r>
              <w:t>brennisteinsdíoxíð</w:t>
            </w:r>
          </w:p>
        </w:tc>
        <w:tc>
          <w:tcPr/>
          <w:p>
            <w:pPr>
              <w:pStyle w:val="Compact"/>
              <w:jc w:val="left"/>
            </w:pPr>
            <w:r>
              <w:t>BCl</w:t>
            </w:r>
            <w:r>
              <w:rPr>
                <w:vertAlign w:val="subscript"/>
              </w:rPr>
              <w:t>3</w:t>
            </w:r>
          </w:p>
        </w:tc>
        <w:tc>
          <w:tcPr/>
          <w:p>
            <w:pPr>
              <w:pStyle w:val="Compact"/>
              <w:jc w:val="left"/>
            </w:pPr>
            <w:r>
              <w:t>bórtríklóríð</w:t>
            </w:r>
          </w:p>
        </w:tc>
      </w:tr>
      <w:tr>
        <w:tc>
          <w:tcPr/>
          <w:p>
            <w:pPr>
              <w:pStyle w:val="Compact"/>
              <w:jc w:val="left"/>
            </w:pPr>
            <w:r>
              <w:t>SO</w:t>
            </w:r>
            <w:r>
              <w:rPr>
                <w:vertAlign w:val="subscript"/>
              </w:rPr>
              <w:t>3</w:t>
            </w:r>
          </w:p>
        </w:tc>
        <w:tc>
          <w:tcPr/>
          <w:p>
            <w:pPr>
              <w:pStyle w:val="Compact"/>
              <w:jc w:val="left"/>
            </w:pPr>
            <w:r>
              <w:t>brennisteinstríoxíð</w:t>
            </w:r>
          </w:p>
        </w:tc>
        <w:tc>
          <w:tcPr/>
          <w:p>
            <w:pPr>
              <w:pStyle w:val="Compact"/>
              <w:jc w:val="left"/>
            </w:pPr>
            <w:r>
              <w:t>SF</w:t>
            </w:r>
            <w:r>
              <w:rPr>
                <w:vertAlign w:val="subscript"/>
              </w:rPr>
              <w:t>6</w:t>
            </w:r>
          </w:p>
        </w:tc>
        <w:tc>
          <w:tcPr/>
          <w:p>
            <w:pPr>
              <w:pStyle w:val="Compact"/>
              <w:jc w:val="left"/>
            </w:pPr>
            <w:r>
              <w:t>brennisteinshexaflúoríð</w:t>
            </w:r>
          </w:p>
        </w:tc>
      </w:tr>
      <w:tr>
        <w:tc>
          <w:tcPr/>
          <w:p>
            <w:pPr>
              <w:pStyle w:val="Compact"/>
              <w:jc w:val="left"/>
            </w:pPr>
            <w:r>
              <w:t>NO</w:t>
            </w:r>
            <w:r>
              <w:rPr>
                <w:vertAlign w:val="subscript"/>
              </w:rPr>
              <w:t>2</w:t>
            </w:r>
          </w:p>
        </w:tc>
        <w:tc>
          <w:tcPr/>
          <w:p>
            <w:pPr>
              <w:pStyle w:val="Compact"/>
              <w:jc w:val="left"/>
            </w:pPr>
            <w:r>
              <w:t>niturdíoxíð</w:t>
            </w:r>
          </w:p>
        </w:tc>
        <w:tc>
          <w:tcPr/>
          <w:p>
            <w:pPr>
              <w:pStyle w:val="Compact"/>
              <w:jc w:val="left"/>
            </w:pPr>
            <w:r>
              <w:t>PF</w:t>
            </w:r>
            <w:r>
              <w:rPr>
                <w:vertAlign w:val="subscript"/>
              </w:rPr>
              <w:t>5</w:t>
            </w:r>
          </w:p>
        </w:tc>
        <w:tc>
          <w:tcPr/>
          <w:p>
            <w:pPr>
              <w:pStyle w:val="Compact"/>
              <w:jc w:val="left"/>
            </w:pPr>
            <w:r>
              <w:t>fosfórpentaflúoríð</w:t>
            </w:r>
          </w:p>
        </w:tc>
      </w:tr>
      <w:tr>
        <w:tc>
          <w:tcPr/>
          <w:p>
            <w:pPr>
              <w:pStyle w:val="Compact"/>
              <w:jc w:val="left"/>
            </w:pPr>
            <w:r>
              <w:t>N</w:t>
            </w:r>
            <w:r>
              <w:rPr>
                <w:vertAlign w:val="subscript"/>
              </w:rPr>
              <w:t>2</w:t>
            </w:r>
            <w:r>
              <w:t>O</w:t>
            </w:r>
            <w:r>
              <w:rPr>
                <w:vertAlign w:val="subscript"/>
              </w:rPr>
              <w:t>4</w:t>
            </w:r>
          </w:p>
        </w:tc>
        <w:tc>
          <w:tcPr/>
          <w:p>
            <w:pPr>
              <w:pStyle w:val="Compact"/>
              <w:jc w:val="left"/>
            </w:pPr>
            <w:r>
              <w:t>díniturtetroxíð</w:t>
            </w:r>
          </w:p>
        </w:tc>
        <w:tc>
          <w:tcPr/>
          <w:p>
            <w:pPr>
              <w:pStyle w:val="Compact"/>
              <w:jc w:val="left"/>
            </w:pPr>
            <w:r>
              <w:t>P</w:t>
            </w:r>
            <w:r>
              <w:rPr>
                <w:vertAlign w:val="subscript"/>
              </w:rPr>
              <w:t>4</w:t>
            </w:r>
            <w:r>
              <w:t>O</w:t>
            </w:r>
            <w:r>
              <w:rPr>
                <w:vertAlign w:val="subscript"/>
              </w:rPr>
              <w:t>10</w:t>
            </w:r>
          </w:p>
        </w:tc>
        <w:tc>
          <w:tcPr/>
          <w:p>
            <w:pPr>
              <w:pStyle w:val="Compact"/>
              <w:jc w:val="left"/>
            </w:pPr>
            <w:r>
              <w:t>tetrafosfórhexoxíð</w:t>
            </w:r>
          </w:p>
        </w:tc>
      </w:tr>
      <w:tr>
        <w:tc>
          <w:tcPr/>
          <w:p>
            <w:pPr>
              <w:pStyle w:val="Compact"/>
              <w:jc w:val="left"/>
            </w:pPr>
            <w:r>
              <w:t>N</w:t>
            </w:r>
            <w:r>
              <w:rPr>
                <w:vertAlign w:val="subscript"/>
              </w:rPr>
              <w:t>2</w:t>
            </w:r>
            <w:r>
              <w:t>O</w:t>
            </w:r>
            <w:r>
              <w:rPr>
                <w:vertAlign w:val="subscript"/>
              </w:rPr>
              <w:t>5</w:t>
            </w:r>
          </w:p>
        </w:tc>
        <w:tc>
          <w:tcPr/>
          <w:p>
            <w:pPr>
              <w:pStyle w:val="Compact"/>
              <w:jc w:val="left"/>
            </w:pPr>
            <w:r>
              <w:t>díniturpentoxíð</w:t>
            </w:r>
          </w:p>
        </w:tc>
        <w:tc>
          <w:tcPr/>
          <w:p>
            <w:pPr>
              <w:pStyle w:val="Compact"/>
              <w:jc w:val="left"/>
            </w:pPr>
            <w:r>
              <w:t>IF</w:t>
            </w:r>
            <w:r>
              <w:rPr>
                <w:vertAlign w:val="subscript"/>
              </w:rPr>
              <w:t>7</w:t>
            </w:r>
          </w:p>
        </w:tc>
        <w:tc>
          <w:tcPr/>
          <w:p>
            <w:pPr>
              <w:pStyle w:val="Compact"/>
              <w:jc w:val="left"/>
            </w:pPr>
            <w:r>
              <w:t>joðheptaflúoríð</w:t>
            </w:r>
          </w:p>
        </w:tc>
      </w:tr>
    </w:tbl>
    <w:bookmarkEnd w:id="53"/>
    <w:p>
      <w:pPr>
        <w:pStyle w:val="TextBody"/>
      </w:pPr>
      <w:r>
        <w:t xml:space="preserve">Tafla  2.11    </w:t>
      </w:r>
    </w:p>
    <w:p>
      <w:pPr>
        <w:pStyle w:val="TextBody"/>
      </w:pPr>
      <w:r>
        <w:t xml:space="preserve">Það eru nokkur almenn nöfn sem þú munt rekast á þegar þú heldur áfram námi þínu í efnafræði. Til dæmis, þótt NO sé oft kallað nituroxíð, er rétt nafn þess köfnunarefnismónoxíð. Á sama hátt er N</w:t>
      </w:r>
      <w:r>
        <w:rPr>
          <w:vertAlign w:val="subscript"/>
        </w:rPr>
        <w:t>2</w:t>
      </w:r>
      <w:r>
        <w:t xml:space="preserve">O þekkt sem hláturgas þótt reglur okkar myndu kveða á um nafnið díniturmónoxíð. (Og H</w:t>
      </w:r>
      <w:r>
        <w:rPr>
          <w:vertAlign w:val="subscript"/>
        </w:rPr>
        <w:t>2</w:t>
      </w:r>
      <w:r>
        <w:t xml:space="preserve">O er venjulega kallað vatn, ekki dívetnismónoxíð.) Þú ættir að leggja á minnið almenn nöfn efnasambanda þegar þú rekst á þau.</w:t>
      </w:r>
    </w:p>
    <w:bookmarkStart w:id="55" w:name="fs-idm206240"/>
    <w:p>
      <w:pPr>
        <w:pStyle w:val="Heading3Grey"/>
      </w:pPr>
      <w:r>
        <w:t xml:space="preserve">Dæmi  2.14  </w:t>
      </w:r>
    </w:p>
    <w:p>
      <w:pPr>
        <w:pStyle w:val="Heading4Grey"/>
      </w:pPr>
      <w:r>
        <w:t xml:space="preserve">Nafngiftir samgildra efnasambanda</w:t>
      </w:r>
    </w:p>
    <w:p>
      <w:pPr>
        <w:pStyle w:val="NoteExampleGrey"/>
      </w:pPr>
      <w:r>
        <w:t xml:space="preserve">Nefndu eftirfarandi samgildu efnasambönd:</w:t>
      </w:r>
    </w:p>
    <w:p>
      <w:pPr>
        <w:pStyle w:val="NoteExampleGrey"/>
      </w:pPr>
      <w:r>
        <w:t xml:space="preserve">(a) SF</w:t>
      </w:r>
      <w:r>
        <w:rPr>
          <w:vertAlign w:val="subscript"/>
        </w:rPr>
        <w:t>6</w:t>
      </w:r>
    </w:p>
    <w:p>
      <w:pPr>
        <w:pStyle w:val="NoteExampleGrey"/>
      </w:pPr>
      <w:r>
        <w:t xml:space="preserve">(b) N</w:t>
      </w:r>
      <w:r>
        <w:rPr>
          <w:vertAlign w:val="subscript"/>
        </w:rPr>
        <w:t>2</w:t>
      </w:r>
      <w:r>
        <w:t>O</w:t>
      </w:r>
      <w:r>
        <w:rPr>
          <w:vertAlign w:val="subscript"/>
        </w:rPr>
        <w:t>3</w:t>
      </w:r>
    </w:p>
    <w:p>
      <w:pPr>
        <w:pStyle w:val="NoteExampleGrey"/>
      </w:pPr>
      <w:r>
        <w:t xml:space="preserve">(c) Cl</w:t>
      </w:r>
      <w:r>
        <w:rPr>
          <w:vertAlign w:val="subscript"/>
        </w:rPr>
        <w:t>2</w:t>
      </w:r>
      <w:r>
        <w:t>O</w:t>
      </w:r>
      <w:r>
        <w:rPr>
          <w:vertAlign w:val="subscript"/>
        </w:rPr>
        <w:t>7</w:t>
      </w:r>
    </w:p>
    <w:p>
      <w:pPr>
        <w:pStyle w:val="NoteExampleGrey"/>
      </w:pPr>
      <w:r>
        <w:t xml:space="preserve">(d) P</w:t>
      </w:r>
      <w:r>
        <w:rPr>
          <w:vertAlign w:val="subscript"/>
        </w:rPr>
        <w:t>4</w:t>
      </w:r>
      <w:r>
        <w:t>O</w:t>
      </w:r>
      <w:r>
        <w:rPr>
          <w:vertAlign w:val="subscript"/>
        </w:rPr>
        <w:t>6</w:t>
      </w:r>
    </w:p>
    <w:p>
      <w:pPr>
        <w:pStyle w:val="Heading4Grey"/>
      </w:pPr>
      <w:r>
        <w:t>Lausn</w:t>
      </w:r>
    </w:p>
    <w:p>
      <w:pPr>
        <w:pStyle w:val="NoteExampleGrey"/>
      </w:pPr>
      <w:r>
        <w:t xml:space="preserve">Þar sem þessi efnasambönd samanstanda eingöngu af málmleysingjum notum við forskeyti til að tákna fjölda atóma hvers frumefnis:</w:t>
      </w:r>
    </w:p>
    <w:p>
      <w:pPr>
        <w:pStyle w:val="NoteExampleGrey"/>
      </w:pPr>
      <w:r>
        <w:t xml:space="preserve">(a) brennisteinshexaflúoríð</w:t>
      </w:r>
    </w:p>
    <w:p>
      <w:pPr>
        <w:pStyle w:val="NoteExampleGrey"/>
      </w:pPr>
      <w:r>
        <w:t xml:space="preserve">(b) tvíköfnunarefnistríoxíð</w:t>
      </w:r>
    </w:p>
    <w:p>
      <w:pPr>
        <w:pStyle w:val="NoteExampleGrey"/>
      </w:pPr>
      <w:r>
        <w:t xml:space="preserve">(c) tvíklórheptoxíð</w:t>
      </w:r>
    </w:p>
    <w:p>
      <w:pPr>
        <w:pStyle w:val="NoteExampleGrey"/>
      </w:pPr>
      <w:r>
        <w:t xml:space="preserve">(d) tetrafosfórhexoxíð</w:t>
      </w:r>
    </w:p>
    <w:p>
      <w:pPr>
        <w:pStyle w:val="Heading4Grey"/>
      </w:pPr>
      <w:r>
        <w:t xml:space="preserve">Kannaðu þekkingu þína</w:t>
      </w:r>
    </w:p>
    <w:p>
      <w:pPr>
        <w:pStyle w:val="NoteExampleGrey"/>
      </w:pPr>
      <w:r>
        <w:t xml:space="preserve">Skrifaðu efnaformúlur fyrir eftirfarandi efnasambönd:</w:t>
      </w:r>
    </w:p>
    <w:p>
      <w:pPr>
        <w:pStyle w:val="NoteExampleGrey"/>
      </w:pPr>
      <w:r>
        <w:t xml:space="preserve">(a) fosfórpentaklórið</w:t>
      </w:r>
    </w:p>
    <w:p>
      <w:pPr>
        <w:pStyle w:val="NoteExampleGrey"/>
      </w:pPr>
      <w:r>
        <w:t xml:space="preserve">(b) tvíköfnunarefnismónoxíð</w:t>
      </w:r>
    </w:p>
    <w:p>
      <w:pPr>
        <w:pStyle w:val="NoteExampleGrey"/>
      </w:pPr>
      <w:r>
        <w:t xml:space="preserve">(c) joðheptaflúoríð</w:t>
      </w:r>
    </w:p>
    <w:p>
      <w:pPr>
        <w:pStyle w:val="NoteExampleGrey"/>
      </w:pPr>
      <w:r>
        <w:t xml:space="preserve">(d) kolefnistetraklóríð</w:t>
      </w:r>
    </w:p>
    <w:bookmarkStart w:id="54" w:name="fs-idp283401520"/>
    <w:p>
      <w:pPr>
        <w:pStyle w:val="Heading3Grey"/>
      </w:pPr>
      <w:r>
        <w:t>Svar:</w:t>
      </w:r>
    </w:p>
    <w:p>
      <w:pPr>
        <w:pStyle w:val="NoteExampleGrey"/>
      </w:pPr>
      <w:r>
        <w:t xml:space="preserve">(a) PCl</w:t>
      </w:r>
      <w:r>
        <w:rPr>
          <w:vertAlign w:val="subscript"/>
        </w:rPr>
        <w:t>5</w:t>
      </w:r>
      <w:r>
        <w:t xml:space="preserve">; (b) N</w:t>
      </w:r>
      <w:r>
        <w:rPr>
          <w:vertAlign w:val="subscript"/>
        </w:rPr>
        <w:t>2</w:t>
      </w:r>
      <w:r>
        <w:t xml:space="preserve">O; (c) IF</w:t>
      </w:r>
      <w:r>
        <w:rPr>
          <w:vertAlign w:val="subscript"/>
        </w:rPr>
        <w:t>7</w:t>
      </w:r>
      <w:r>
        <w:t xml:space="preserve">; (d) CCl</w:t>
      </w:r>
      <w:r>
        <w:rPr>
          <w:vertAlign w:val="subscript"/>
        </w:rPr>
        <w:t>4</w:t>
      </w:r>
    </w:p>
    <w:bookmarkEnd w:id="54"/>
    <w:bookmarkEnd w:id="55"/>
    <w:p>
      <w:pPr>
        <w:pStyle w:val="SmallWhiteGap"/>
      </w:pPr>
      <w:r>
        <w:t xml:space="preserve"> </w:t>
      </w:r>
    </w:p>
    <w:bookmarkStart w:id="57" w:name="fs-idp283404080"/>
    <w:p>
      <w:pPr>
        <w:pStyle w:val="Heading3Grey"/>
      </w:pPr>
      <w:r>
        <w:t xml:space="preserve">Tengill á námsefni</w:t>
      </w:r>
    </w:p>
    <w:p>
      <w:pPr>
        <w:pStyle w:val="NoteExampleGrey"/>
      </w:pPr>
      <w:r>
        <w:t xml:space="preserve">Eftirfarandi </w:t>
      </w:r>
      <w:hyperlink r:id="rId56">
        <w:r>
          <w:rPr>
            <w:rStyle w:val="InternetLink"/>
          </w:rPr>
          <w:t>vefsíða</w:t>
        </w:r>
      </w:hyperlink>
      <w:r>
        <w:t xml:space="preserve"> býður upp á æfingar í nafngiftum efnasambanda og ritun efnaformúla. Þú getur valið tvíundar, fjölfrumeinda og jónaefni með breytilega hleðslu, auk sameindaefnasambanda.</w:t>
      </w:r>
    </w:p>
    <w:bookmarkEnd w:id="57"/>
    <w:bookmarkEnd w:id="58"/>
    <w:bookmarkEnd w:id="59"/>
    <w:bookmarkStart w:id="63" w:name="fs-idp268193776"/>
    <w:bookmarkStart w:id="62" w:name="binary-acids"/>
    <w:p>
      <w:pPr>
        <w:pStyle w:val="Heading3"/>
      </w:pPr>
      <w:r>
        <w:t>Tvíundarsýrur</w:t>
      </w:r>
    </w:p>
    <w:p>
      <w:pPr>
        <w:pStyle w:val="FirstParagraph"/>
      </w:pPr>
      <w:r>
        <w:t xml:space="preserve">Sum efnasambönd sem innihalda vetni tilheyra mikilvægum flokki efna sem kallast sýrur. Efnafræði þessara efnasambanda er könnuð nánar í síðari köflum þessa texta, en í bili nægir að nefna að margar sýrur losa vetnisjónir, H</w:t>
      </w:r>
      <w:r>
        <w:rPr>
          <w:vertAlign w:val="superscript"/>
        </w:rPr>
        <w:t>+</w:t>
      </w:r>
      <w:r>
        <w:t xml:space="preserve">, þegar þær eru leystar upp í vatni. Til að tákna þennan sérstaka efnaeiginleika fær efnablanda af vatni og sýru nafn sem er dregið af nafni efnasambandsins. Ef efnasambandið er </w:t>
      </w:r>
      <w:bookmarkStart w:id="60" w:name="term-00005"/>
      <w:r>
        <w:t>tvíundarsýra</w:t>
      </w:r>
      <w:bookmarkEnd w:id="60"/>
      <w:r>
        <w:t xml:space="preserve"> (samanstendur af vetni og einu öðru frumefni málmleysingja):</w:t>
      </w:r>
    </w:p>
    <w:p>
      <w:pPr>
        <w:numPr>
          <w:ilvl w:val="0"/>
          <w:numId w:val="1002"/>
        </w:numPr>
        <w:pStyle w:val="Compact"/>
      </w:pPr>
      <w:r>
        <w:t xml:space="preserve">Orðinu „vetni“ er breytt í forskeytið </w:t>
      </w:r>
      <w:r>
        <w:rPr>
          <w:i/>
        </w:rPr>
        <w:t>vetnis-</w:t>
      </w:r>
    </w:p>
    <w:p>
      <w:pPr>
        <w:numPr>
          <w:ilvl w:val="0"/>
          <w:numId w:val="1002"/>
        </w:numPr>
        <w:pStyle w:val="Compact"/>
      </w:pPr>
      <w:r>
        <w:t xml:space="preserve">Nafni hins málmleysingjans er breytt með því að bæta við endingunni -</w:t>
      </w:r>
      <w:r>
        <w:rPr>
          <w:i/>
        </w:rPr>
        <w:t>sýra</w:t>
      </w:r>
    </w:p>
    <w:p>
      <w:pPr>
        <w:numPr>
          <w:ilvl w:val="0"/>
          <w:numId w:val="1002"/>
        </w:numPr>
        <w:pStyle w:val="Compact"/>
      </w:pPr>
      <w:r>
        <w:t xml:space="preserve">Orðið „sýra“ er notað sem seinna orðið</w:t>
      </w:r>
    </w:p>
    <w:p>
      <w:pPr>
        <w:pStyle w:val="FirstParagraph"/>
      </w:pPr>
      <w:r>
        <w:t xml:space="preserve">Til dæmis, þegar gasið HCl (vetnisklóríð) er leyst upp í vatni, er lausnin kölluð </w:t>
      </w:r>
      <w:r>
        <w:rPr>
          <w:i/>
        </w:rPr>
        <w:t>saltsýra</w:t>
      </w:r>
      <w:r>
        <w:t xml:space="preserve">. Nokkur önnur dæmi um þessa nafnareglu eru sýnd í </w:t>
      </w:r>
      <w:hyperlink w:anchor="fs-idp272649888">
        <w:r>
          <w:rPr>
            <w:rStyle w:val="InternetLink"/>
          </w:rPr>
          <w:t xml:space="preserve">töflu 2.12</w:t>
        </w:r>
      </w:hyperlink>
      <w:r>
        <w:t>.</w:t>
      </w:r>
    </w:p>
    <w:p>
      <w:pPr>
        <w:pStyle w:val="TextBody"/>
      </w:pPr>
      <w:r>
        <w:t xml:space="preserve">Nöfn nokkurra einfaldra sýra</w:t>
      </w:r>
    </w:p>
    <w:bookmarkStart w:id="61" w:name="fs-idp27264988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Heiti gass</w:t>
            </w:r>
          </w:p>
        </w:tc>
        <w:tc>
          <w:tcPr/>
          <w:p>
            <w:pPr>
              <w:pStyle w:val="Compact"/>
              <w:jc w:val="left"/>
            </w:pPr>
            <w:r>
              <w:t xml:space="preserve">Heiti sýru</w:t>
            </w:r>
          </w:p>
        </w:tc>
      </w:tr>
      <w:tr>
        <w:tc>
          <w:tcPr/>
          <w:p>
            <w:pPr>
              <w:pStyle w:val="Compact"/>
              <w:jc w:val="left"/>
            </w:pPr>
            <w:r>
              <w:t>HF(</w:t>
            </w:r>
            <w:r>
              <w:rPr>
                <w:i/>
              </w:rPr>
              <w:t>g</w:t>
            </w:r>
            <w:r>
              <w:t xml:space="preserve">), vetnisflúoríð</w:t>
            </w:r>
          </w:p>
        </w:tc>
        <w:tc>
          <w:tcPr/>
          <w:p>
            <w:pPr>
              <w:pStyle w:val="Compact"/>
              <w:jc w:val="left"/>
            </w:pPr>
            <w:r>
              <w:t>HF(</w:t>
            </w:r>
            <w:r>
              <w:rPr>
                <w:i/>
              </w:rPr>
              <w:t>aq</w:t>
            </w:r>
            <w:r>
              <w:t xml:space="preserve">), flúorsýra</w:t>
            </w:r>
          </w:p>
        </w:tc>
      </w:tr>
      <w:tr>
        <w:tc>
          <w:tcPr/>
          <w:p>
            <w:pPr>
              <w:pStyle w:val="Compact"/>
              <w:jc w:val="left"/>
            </w:pPr>
            <w:r>
              <w:t>HCl(</w:t>
            </w:r>
            <w:r>
              <w:rPr>
                <w:i/>
              </w:rPr>
              <w:t>g</w:t>
            </w:r>
            <w:r>
              <w:t xml:space="preserve">), vetnisklóríð</w:t>
            </w:r>
          </w:p>
        </w:tc>
        <w:tc>
          <w:tcPr/>
          <w:p>
            <w:pPr>
              <w:pStyle w:val="Compact"/>
              <w:jc w:val="left"/>
            </w:pPr>
            <w:r>
              <w:t>HCl(</w:t>
            </w:r>
            <w:r>
              <w:rPr>
                <w:i/>
              </w:rPr>
              <w:t>aq</w:t>
            </w:r>
            <w:r>
              <w:t xml:space="preserve">), saltsýra</w:t>
            </w:r>
          </w:p>
        </w:tc>
      </w:tr>
      <w:tr>
        <w:tc>
          <w:tcPr/>
          <w:p>
            <w:pPr>
              <w:pStyle w:val="Compact"/>
              <w:jc w:val="left"/>
            </w:pPr>
            <w:r>
              <w:t>HBr(</w:t>
            </w:r>
            <w:r>
              <w:rPr>
                <w:i/>
              </w:rPr>
              <w:t>g</w:t>
            </w:r>
            <w:r>
              <w:t xml:space="preserve">), vetnisbrómíð</w:t>
            </w:r>
          </w:p>
        </w:tc>
        <w:tc>
          <w:tcPr/>
          <w:p>
            <w:pPr>
              <w:pStyle w:val="Compact"/>
              <w:jc w:val="left"/>
            </w:pPr>
            <w:r>
              <w:t>HBr(</w:t>
            </w:r>
            <w:r>
              <w:rPr>
                <w:i/>
              </w:rPr>
              <w:t>aq</w:t>
            </w:r>
            <w:r>
              <w:t xml:space="preserve">), brómsýra</w:t>
            </w:r>
          </w:p>
        </w:tc>
      </w:tr>
      <w:tr>
        <w:tc>
          <w:tcPr/>
          <w:p>
            <w:pPr>
              <w:pStyle w:val="Compact"/>
              <w:jc w:val="left"/>
            </w:pPr>
            <w:r>
              <w:t>HI(</w:t>
            </w:r>
            <w:r>
              <w:rPr>
                <w:i/>
              </w:rPr>
              <w:t>g</w:t>
            </w:r>
            <w:r>
              <w:t xml:space="preserve">), vetnisjoðíð</w:t>
            </w:r>
          </w:p>
        </w:tc>
        <w:tc>
          <w:tcPr/>
          <w:p>
            <w:pPr>
              <w:pStyle w:val="Compact"/>
              <w:jc w:val="left"/>
            </w:pPr>
            <w:r>
              <w:t>HI(</w:t>
            </w:r>
            <w:r>
              <w:rPr>
                <w:i/>
              </w:rPr>
              <w:t>aq</w:t>
            </w:r>
            <w:r>
              <w:t xml:space="preserve">), joðsýra</w:t>
            </w:r>
          </w:p>
        </w:tc>
      </w:tr>
      <w:tr>
        <w:tc>
          <w:tcPr/>
          <w:p>
            <w:pPr>
              <w:pStyle w:val="Compact"/>
              <w:jc w:val="left"/>
            </w:pPr>
            <w:r>
              <w:t>H</w:t>
            </w:r>
            <w:r>
              <w:rPr>
                <w:vertAlign w:val="subscript"/>
              </w:rPr>
              <w:t>2</w:t>
            </w:r>
            <w:r>
              <w:t>S(</w:t>
            </w:r>
            <w:r>
              <w:rPr>
                <w:i/>
              </w:rPr>
              <w:t>g</w:t>
            </w:r>
            <w:r>
              <w:t xml:space="preserve">), vetnissúlfíð</w:t>
            </w:r>
          </w:p>
        </w:tc>
        <w:tc>
          <w:tcPr/>
          <w:p>
            <w:pPr>
              <w:pStyle w:val="Compact"/>
              <w:jc w:val="left"/>
            </w:pPr>
            <w:r>
              <w:t>H</w:t>
            </w:r>
            <w:r>
              <w:rPr>
                <w:vertAlign w:val="subscript"/>
              </w:rPr>
              <w:t>2</w:t>
            </w:r>
            <w:r>
              <w:t>S(</w:t>
            </w:r>
            <w:r>
              <w:rPr>
                <w:i/>
              </w:rPr>
              <w:t>aq</w:t>
            </w:r>
            <w:r>
              <w:t xml:space="preserve">), brennisteinssýra</w:t>
            </w:r>
          </w:p>
        </w:tc>
      </w:tr>
    </w:tbl>
    <w:bookmarkEnd w:id="61"/>
    <w:p>
      <w:pPr>
        <w:pStyle w:val="TextBody"/>
      </w:pPr>
      <w:r>
        <w:t xml:space="preserve">Tafla  2.12    </w:t>
      </w:r>
    </w:p>
    <w:bookmarkEnd w:id="62"/>
    <w:bookmarkEnd w:id="63"/>
    <w:bookmarkStart w:id="67" w:name="fs-idp268349296"/>
    <w:bookmarkStart w:id="66" w:name="oxyacids"/>
    <w:p>
      <w:pPr>
        <w:pStyle w:val="Heading3"/>
      </w:pPr>
      <w:r>
        <w:t>Oxsýrur</w:t>
      </w:r>
    </w:p>
    <w:p>
      <w:pPr>
        <w:pStyle w:val="FirstParagraph"/>
      </w:pPr>
      <w:r>
        <w:t xml:space="preserve">Mörg efnasambönd sem innihalda þrjú eða fleiri frumefni (svo sem lífræn efnasambönd eða girðisambönd) lúta sérhæfðum nafngiftarreglum sem þú munt læra síðar. Hins vegar munum við í stuttu máli fjalla um mikilvæg efnasambönd sem kallast </w:t>
      </w:r>
      <w:bookmarkStart w:id="64" w:name="term-00006"/>
      <w:r>
        <w:t>oxýsýrur</w:t>
      </w:r>
      <w:bookmarkEnd w:id="64"/>
      <w:r>
        <w:t xml:space="preserve">, efnasambönd sem innihalda vetni, súrefni og að minnsta kosti eitt annað frumefni, og eru tengd á þann hátt að þau gefa efnasambandinu súra eiginleika (þú munt læra nánar um þetta í síðari kafla). Dæmigerðar oxsýrur samanstanda af vetni ásamt fjölfrumeinda, súrefnisinnihaldandi jón. Til að nefna oxsýrur:</w:t>
      </w:r>
    </w:p>
    <w:p>
      <w:pPr>
        <w:numPr>
          <w:ilvl w:val="0"/>
          <w:numId w:val="1003"/>
        </w:numPr>
        <w:pStyle w:val="Compact"/>
      </w:pPr>
      <w:r>
        <w:t xml:space="preserve">Slepptu „vetni“</w:t>
      </w:r>
    </w:p>
    <w:p>
      <w:pPr>
        <w:numPr>
          <w:ilvl w:val="0"/>
          <w:numId w:val="1003"/>
        </w:numPr>
        <w:pStyle w:val="Compact"/>
      </w:pPr>
      <w:r>
        <w:t xml:space="preserve">Byrjaðu á stofni nafns anjónarinnar</w:t>
      </w:r>
    </w:p>
    <w:p>
      <w:pPr>
        <w:numPr>
          <w:ilvl w:val="0"/>
          <w:numId w:val="1003"/>
        </w:numPr>
        <w:pStyle w:val="Compact"/>
      </w:pPr>
      <w:r>
        <w:t xml:space="preserve">Settu -</w:t>
      </w:r>
      <w:r>
        <w:rPr>
          <w:i/>
        </w:rPr>
        <w:t>sýra</w:t>
      </w:r>
      <w:r>
        <w:t xml:space="preserve"> í stað -</w:t>
      </w:r>
      <w:r>
        <w:rPr>
          <w:i/>
        </w:rPr>
        <w:t>at</w:t>
      </w:r>
      <w:r>
        <w:t xml:space="preserve"> eða -</w:t>
      </w:r>
      <w:r>
        <w:rPr>
          <w:i/>
        </w:rPr>
        <w:t xml:space="preserve">sýrlingur í</w:t>
      </w:r>
      <w:r>
        <w:t xml:space="preserve"> stað -</w:t>
      </w:r>
      <w:r>
        <w:rPr>
          <w:i/>
        </w:rPr>
        <w:t>ít</w:t>
      </w:r>
    </w:p>
    <w:p>
      <w:pPr>
        <w:numPr>
          <w:ilvl w:val="0"/>
          <w:numId w:val="1003"/>
        </w:numPr>
        <w:pStyle w:val="Compact"/>
      </w:pPr>
      <w:r>
        <w:t xml:space="preserve">Bættu við „sýra“</w:t>
      </w:r>
    </w:p>
    <w:p>
      <w:pPr>
        <w:pStyle w:val="FirstParagraph"/>
      </w:pPr>
      <w:r>
        <w:t xml:space="preserve">Tökum H</w:t>
      </w:r>
      <w:r>
        <w:rPr>
          <w:vertAlign w:val="subscript"/>
        </w:rPr>
        <w:t>2</w:t>
      </w:r>
      <w:r>
        <w:t>CO</w:t>
      </w:r>
      <w:r>
        <w:rPr>
          <w:vertAlign w:val="subscript"/>
        </w:rPr>
        <w:t>3</w:t>
      </w:r>
      <w:r>
        <w:t xml:space="preserve"> sem dæmi (sem þú gætir freistast til að kalla „vetniskarbónat“). Til að nefna þetta rétt er „vetni“ sleppt; karbón er skipt út fyrir kol; og -</w:t>
      </w:r>
      <w:r>
        <w:rPr>
          <w:i/>
        </w:rPr>
        <w:t>at</w:t>
      </w:r>
      <w:r>
        <w:t xml:space="preserve"> er skipt út fyrir -</w:t>
      </w:r>
      <w:r>
        <w:rPr>
          <w:i/>
        </w:rPr>
        <w:t>sýra</w:t>
      </w:r>
      <w:r>
        <w:t xml:space="preserve"> — svo nafn þess er kolsýra. Önnur dæmi eru gefin í </w:t>
      </w:r>
      <w:hyperlink w:anchor="fs-idp268340336">
        <w:r>
          <w:rPr>
            <w:rStyle w:val="InternetLink"/>
          </w:rPr>
          <w:t xml:space="preserve">töflu 2.13</w:t>
        </w:r>
      </w:hyperlink>
      <w:r>
        <w:t xml:space="preserve">. Það eru nokkrar undantekningar frá almennu nafngiftaraðferðinni (t.d. er H</w:t>
      </w:r>
      <w:r>
        <w:rPr>
          <w:vertAlign w:val="subscript"/>
        </w:rPr>
        <w:t>2</w:t>
      </w:r>
      <w:r>
        <w:t>SO</w:t>
      </w:r>
      <w:r>
        <w:rPr>
          <w:vertAlign w:val="subscript"/>
        </w:rPr>
        <w:t>4</w:t>
      </w:r>
      <w:r>
        <w:t xml:space="preserve"> kallað brennisteinssýra, ekki brennissýra, og H</w:t>
      </w:r>
      <w:r>
        <w:rPr>
          <w:vertAlign w:val="subscript"/>
        </w:rPr>
        <w:t>2</w:t>
      </w:r>
      <w:r>
        <w:t>SO</w:t>
      </w:r>
      <w:r>
        <w:rPr>
          <w:vertAlign w:val="subscript"/>
        </w:rPr>
        <w:t>3</w:t>
      </w:r>
      <w:r>
        <w:t xml:space="preserve"> er brennisteinssýrlingur, ekki brennisýrlingur).</w:t>
      </w:r>
    </w:p>
    <w:p>
      <w:pPr>
        <w:pStyle w:val="TextBody"/>
      </w:pPr>
      <w:r>
        <w:t xml:space="preserve">Nöfn algengra oxósýra</w:t>
      </w:r>
    </w:p>
    <w:bookmarkStart w:id="65" w:name="fs-idp26834033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Formúla</w:t>
            </w:r>
          </w:p>
        </w:tc>
        <w:tc>
          <w:tcPr/>
          <w:p>
            <w:pPr>
              <w:pStyle w:val="Compact"/>
              <w:jc w:val="left"/>
            </w:pPr>
            <w:r>
              <w:t xml:space="preserve">Heiti anjónar</w:t>
            </w:r>
          </w:p>
        </w:tc>
        <w:tc>
          <w:tcPr/>
          <w:p>
            <w:pPr>
              <w:pStyle w:val="Compact"/>
              <w:jc w:val="left"/>
            </w:pPr>
            <w:r>
              <w:t xml:space="preserve">Heiti sýru</w:t>
            </w:r>
          </w:p>
        </w:tc>
      </w:tr>
      <w:tr>
        <w:tc>
          <w:tcPr/>
          <w:p>
            <w:pPr>
              <w:pStyle w:val="Compact"/>
              <w:jc w:val="left"/>
            </w:pPr>
            <w:r>
              <w:t>HC</w:t>
            </w:r>
            <w:r>
              <w:rPr>
                <w:vertAlign w:val="subscript"/>
              </w:rPr>
              <w:t>2</w:t>
            </w:r>
            <w:r>
              <w:t>H</w:t>
            </w:r>
            <w:r>
              <w:rPr>
                <w:vertAlign w:val="subscript"/>
              </w:rPr>
              <w:t>3</w:t>
            </w:r>
            <w:r>
              <w:t>O</w:t>
            </w:r>
            <w:r>
              <w:rPr>
                <w:vertAlign w:val="subscript"/>
              </w:rPr>
              <w:t>2</w:t>
            </w:r>
          </w:p>
        </w:tc>
        <w:tc>
          <w:tcPr/>
          <w:p>
            <w:pPr>
              <w:pStyle w:val="Compact"/>
              <w:jc w:val="left"/>
            </w:pPr>
            <w:r>
              <w:t>asetat</w:t>
            </w:r>
          </w:p>
        </w:tc>
        <w:tc>
          <w:tcPr/>
          <w:p>
            <w:pPr>
              <w:pStyle w:val="Compact"/>
              <w:jc w:val="left"/>
            </w:pPr>
            <w:r>
              <w:t>ediksýra</w:t>
            </w:r>
          </w:p>
        </w:tc>
      </w:tr>
      <w:tr>
        <w:tc>
          <w:tcPr/>
          <w:p>
            <w:pPr>
              <w:pStyle w:val="Compact"/>
              <w:jc w:val="left"/>
            </w:pPr>
            <w:r>
              <w:t>HNO</w:t>
            </w:r>
            <w:r>
              <w:rPr>
                <w:vertAlign w:val="subscript"/>
              </w:rPr>
              <w:t>3</w:t>
            </w:r>
          </w:p>
        </w:tc>
        <w:tc>
          <w:tcPr/>
          <w:p>
            <w:pPr>
              <w:pStyle w:val="Compact"/>
              <w:jc w:val="left"/>
            </w:pPr>
            <w:r>
              <w:t>nítrat</w:t>
            </w:r>
          </w:p>
        </w:tc>
        <w:tc>
          <w:tcPr/>
          <w:p>
            <w:pPr>
              <w:pStyle w:val="Compact"/>
              <w:jc w:val="left"/>
            </w:pPr>
            <w:r>
              <w:t>saltpéturssýra</w:t>
            </w:r>
          </w:p>
        </w:tc>
      </w:tr>
      <w:tr>
        <w:tc>
          <w:tcPr/>
          <w:p>
            <w:pPr>
              <w:pStyle w:val="Compact"/>
              <w:jc w:val="left"/>
            </w:pPr>
            <w:r>
              <w:t>HNO</w:t>
            </w:r>
            <w:r>
              <w:rPr>
                <w:vertAlign w:val="subscript"/>
              </w:rPr>
              <w:t>2</w:t>
            </w:r>
          </w:p>
        </w:tc>
        <w:tc>
          <w:tcPr/>
          <w:p>
            <w:pPr>
              <w:pStyle w:val="Compact"/>
              <w:jc w:val="left"/>
            </w:pPr>
            <w:r>
              <w:t>nítrít</w:t>
            </w:r>
          </w:p>
        </w:tc>
        <w:tc>
          <w:tcPr/>
          <w:p>
            <w:pPr>
              <w:pStyle w:val="Compact"/>
              <w:jc w:val="left"/>
            </w:pPr>
            <w:r>
              <w:t>saltpéturssýrlingur</w:t>
            </w:r>
          </w:p>
        </w:tc>
      </w:tr>
      <w:tr>
        <w:tc>
          <w:tcPr/>
          <w:p>
            <w:pPr>
              <w:pStyle w:val="Compact"/>
              <w:jc w:val="left"/>
            </w:pPr>
            <w:r>
              <w:t>HClO</w:t>
            </w:r>
            <w:r>
              <w:rPr>
                <w:vertAlign w:val="subscript"/>
              </w:rPr>
              <w:t>4</w:t>
            </w:r>
          </w:p>
        </w:tc>
        <w:tc>
          <w:tcPr/>
          <w:p>
            <w:pPr>
              <w:pStyle w:val="Compact"/>
              <w:jc w:val="left"/>
            </w:pPr>
            <w:r>
              <w:t>perklórat</w:t>
            </w:r>
          </w:p>
        </w:tc>
        <w:tc>
          <w:tcPr/>
          <w:p>
            <w:pPr>
              <w:pStyle w:val="Compact"/>
              <w:jc w:val="left"/>
            </w:pPr>
            <w:r>
              <w:t>perklórsýra</w:t>
            </w:r>
          </w:p>
        </w:tc>
      </w:tr>
      <w:tr>
        <w:tc>
          <w:tcPr/>
          <w:p>
            <w:pPr>
              <w:pStyle w:val="Compact"/>
              <w:jc w:val="left"/>
            </w:pPr>
            <w:r>
              <w:t>H</w:t>
            </w:r>
            <w:r>
              <w:rPr>
                <w:vertAlign w:val="subscript"/>
              </w:rPr>
              <w:t>2</w:t>
            </w:r>
            <w:r>
              <w:t>CO</w:t>
            </w:r>
            <w:r>
              <w:rPr>
                <w:vertAlign w:val="subscript"/>
              </w:rPr>
              <w:t>3</w:t>
            </w:r>
          </w:p>
        </w:tc>
        <w:tc>
          <w:tcPr/>
          <w:p>
            <w:pPr>
              <w:pStyle w:val="Compact"/>
              <w:jc w:val="left"/>
            </w:pPr>
            <w:r>
              <w:t>karbónat</w:t>
            </w:r>
          </w:p>
        </w:tc>
        <w:tc>
          <w:tcPr/>
          <w:p>
            <w:pPr>
              <w:pStyle w:val="Compact"/>
              <w:jc w:val="left"/>
            </w:pPr>
            <w:r>
              <w:t>kolsýra</w:t>
            </w:r>
          </w:p>
        </w:tc>
      </w:tr>
      <w:tr>
        <w:tc>
          <w:tcPr/>
          <w:p>
            <w:pPr>
              <w:pStyle w:val="Compact"/>
              <w:jc w:val="left"/>
            </w:pPr>
            <w:r>
              <w:t>H</w:t>
            </w:r>
            <w:r>
              <w:rPr>
                <w:vertAlign w:val="subscript"/>
              </w:rPr>
              <w:t>2</w:t>
            </w:r>
            <w:r>
              <w:t>SO</w:t>
            </w:r>
            <w:r>
              <w:rPr>
                <w:vertAlign w:val="subscript"/>
              </w:rPr>
              <w:t>4</w:t>
            </w:r>
          </w:p>
        </w:tc>
        <w:tc>
          <w:tcPr/>
          <w:p>
            <w:pPr>
              <w:pStyle w:val="Compact"/>
              <w:jc w:val="left"/>
            </w:pPr>
            <w:r>
              <w:t>súlfat</w:t>
            </w:r>
          </w:p>
        </w:tc>
        <w:tc>
          <w:tcPr/>
          <w:p>
            <w:pPr>
              <w:pStyle w:val="Compact"/>
              <w:jc w:val="left"/>
            </w:pPr>
            <w:r>
              <w:t>brennisteinssýra</w:t>
            </w:r>
          </w:p>
        </w:tc>
      </w:tr>
      <w:tr>
        <w:tc>
          <w:tcPr/>
          <w:p>
            <w:pPr>
              <w:pStyle w:val="Compact"/>
              <w:jc w:val="left"/>
            </w:pPr>
            <w:r>
              <w:t>H</w:t>
            </w:r>
            <w:r>
              <w:rPr>
                <w:vertAlign w:val="subscript"/>
              </w:rPr>
              <w:t>2</w:t>
            </w:r>
            <w:r>
              <w:t>SO</w:t>
            </w:r>
            <w:r>
              <w:rPr>
                <w:vertAlign w:val="subscript"/>
              </w:rPr>
              <w:t>3</w:t>
            </w:r>
          </w:p>
        </w:tc>
        <w:tc>
          <w:tcPr/>
          <w:p>
            <w:pPr>
              <w:pStyle w:val="Compact"/>
              <w:jc w:val="left"/>
            </w:pPr>
            <w:r>
              <w:t>súlfít</w:t>
            </w:r>
          </w:p>
        </w:tc>
        <w:tc>
          <w:tcPr/>
          <w:p>
            <w:pPr>
              <w:pStyle w:val="Compact"/>
              <w:jc w:val="left"/>
            </w:pPr>
            <w:r>
              <w:t>brennisteinssýrlingur</w:t>
            </w:r>
          </w:p>
        </w:tc>
      </w:tr>
      <w:tr>
        <w:tc>
          <w:tcPr/>
          <w:p>
            <w:pPr>
              <w:pStyle w:val="Compact"/>
              <w:jc w:val="left"/>
            </w:pPr>
            <w:r>
              <w:t>H</w:t>
            </w:r>
            <w:r>
              <w:rPr>
                <w:vertAlign w:val="subscript"/>
              </w:rPr>
              <w:t>3</w:t>
            </w:r>
            <w:r>
              <w:t>PO</w:t>
            </w:r>
            <w:r>
              <w:rPr>
                <w:vertAlign w:val="subscript"/>
              </w:rPr>
              <w:t>4</w:t>
            </w:r>
          </w:p>
        </w:tc>
        <w:tc>
          <w:tcPr/>
          <w:p>
            <w:pPr>
              <w:pStyle w:val="Compact"/>
              <w:jc w:val="left"/>
            </w:pPr>
            <w:r>
              <w:t>fosfat</w:t>
            </w:r>
          </w:p>
        </w:tc>
        <w:tc>
          <w:tcPr/>
          <w:p>
            <w:pPr>
              <w:pStyle w:val="Compact"/>
              <w:jc w:val="left"/>
            </w:pPr>
            <w:r>
              <w:t>fosfórsýra</w:t>
            </w:r>
          </w:p>
        </w:tc>
      </w:tr>
    </w:tbl>
    <w:bookmarkEnd w:id="65"/>
    <w:p>
      <w:pPr>
        <w:pStyle w:val="TextBody"/>
      </w:pPr>
      <w:r>
        <w:t xml:space="preserve">Tafla  2.13    </w:t>
      </w:r>
    </w:p>
    <w:bookmarkEnd w:id="66"/>
    <w:bookmarkEnd w:id="67"/>
    <w:bookmarkEnd w:id="68"/>
    <w:bookmarkEnd w:id="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4" Target="media/rId44.so" /><Relationship Type="http://schemas.openxmlformats.org/officeDocument/2006/relationships/hyperlink" Id="rId34" Target="http://openstax.org/books/chemistry-2e/pages/2-6-ionic-and-molecular-compounds#CNX_Chem_02_06_IonCharges" TargetMode="External" /><Relationship Type="http://schemas.openxmlformats.org/officeDocument/2006/relationships/hyperlink" Id="rId56" Target="http://openstax.org/l/16chemcompnam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books/chemistry-2e/pages/2-6-ionic-and-molecular-compounds#CNX_Chem_02_06_IonCharges" TargetMode="External" /><Relationship Type="http://schemas.openxmlformats.org/officeDocument/2006/relationships/hyperlink" Id="rId56" Target="http://openstax.org/l/16chemcomp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2025-01-24T22:28:42Z</dcterms:created>
  <dcterms:modified xsi:type="dcterms:W3CDTF">2025-01-24T22:28:42Z</dcterms:modified>
</cp:coreProperties>
</file>

<file path=docProps/custom.xml><?xml version="1.0" encoding="utf-8"?>
<Properties xmlns="http://schemas.openxmlformats.org/officeDocument/2006/custom-properties" xmlns:vt="http://schemas.openxmlformats.org/officeDocument/2006/docPropsVTypes"/>
</file>