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1.so" ContentType="application/octet-stream"/>
  <Override PartName="/word/media/rId21.so" ContentType="application/octet-stream"/>
  <Override PartName="/word/media/rId38.so" ContentType="application/octet-stream"/>
  <Override PartName="/word/media/rId26.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f00d6d1d74547e05593b8feb1950a51b33b7931"/>
    <w:bookmarkStart w:id="42" w:name="appendix-e-water-properties"/>
    <w:p>
      <w:pPr>
        <w:pStyle w:val="Heading1"/>
      </w:pPr>
      <w:r>
        <w:t xml:space="preserve">Appendix</w:t>
      </w:r>
      <w:r>
        <w:t xml:space="preserve"> </w:t>
      </w:r>
      <w:r>
        <w:t xml:space="preserve"> </w:t>
      </w:r>
      <w:r>
        <w:t xml:space="preserve">E</w:t>
      </w:r>
      <w:r>
        <w:t xml:space="preserve"> </w:t>
      </w:r>
      <w:r>
        <w:t xml:space="preserve"> </w:t>
      </w:r>
      <w:r>
        <w:t xml:space="preserve"> </w:t>
      </w:r>
      <w:r>
        <w:t xml:space="preserve">Water Properties</w:t>
      </w:r>
    </w:p>
    <w:p>
      <w:pPr>
        <w:pStyle w:val="FirstParagraph"/>
      </w:pPr>
      <w:r>
        <w:t xml:space="preserve">Water Density (g/mL) at Different Temperatures (°C)</w:t>
      </w:r>
    </w:p>
    <w:bookmarkStart w:id="20" w:name="fs-idm240880336"/>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Temperature</w:t>
            </w:r>
          </w:p>
        </w:tc>
        <w:tc>
          <w:tcPr/>
          <w:p>
            <w:pPr>
              <w:pStyle w:val="Compact"/>
              <w:jc w:val="left"/>
            </w:pPr>
            <w:r>
              <w:t xml:space="preserve">Density (g/mL)</w:t>
            </w:r>
          </w:p>
        </w:tc>
      </w:tr>
      <w:tr>
        <w:tc>
          <w:tcPr/>
          <w:p>
            <w:pPr>
              <w:pStyle w:val="Compact"/>
              <w:jc w:val="left"/>
            </w:pPr>
            <w:r>
              <w:t xml:space="preserve">0</w:t>
            </w:r>
          </w:p>
        </w:tc>
        <w:tc>
          <w:tcPr/>
          <w:p>
            <w:pPr>
              <w:pStyle w:val="Compact"/>
              <w:jc w:val="left"/>
            </w:pPr>
            <w:r>
              <w:t xml:space="preserve">0.9998395</w:t>
            </w:r>
          </w:p>
        </w:tc>
      </w:tr>
      <w:tr>
        <w:tc>
          <w:tcPr/>
          <w:p>
            <w:pPr>
              <w:pStyle w:val="Compact"/>
              <w:jc w:val="left"/>
            </w:pPr>
            <w:r>
              <w:t xml:space="preserve">4</w:t>
            </w:r>
          </w:p>
        </w:tc>
        <w:tc>
          <w:tcPr/>
          <w:p>
            <w:pPr>
              <w:pStyle w:val="Compact"/>
              <w:jc w:val="left"/>
            </w:pPr>
            <w:r>
              <w:t xml:space="preserve">0.9999720 (density maximum)</w:t>
            </w:r>
          </w:p>
        </w:tc>
      </w:tr>
      <w:tr>
        <w:tc>
          <w:tcPr/>
          <w:p>
            <w:pPr>
              <w:pStyle w:val="Compact"/>
              <w:jc w:val="left"/>
            </w:pPr>
            <w:r>
              <w:t xml:space="preserve">10</w:t>
            </w:r>
          </w:p>
        </w:tc>
        <w:tc>
          <w:tcPr/>
          <w:p>
            <w:pPr>
              <w:pStyle w:val="Compact"/>
              <w:jc w:val="left"/>
            </w:pPr>
            <w:r>
              <w:t xml:space="preserve">0.9997026</w:t>
            </w:r>
          </w:p>
        </w:tc>
      </w:tr>
      <w:tr>
        <w:tc>
          <w:tcPr/>
          <w:p>
            <w:pPr>
              <w:pStyle w:val="Compact"/>
              <w:jc w:val="left"/>
            </w:pPr>
            <w:r>
              <w:t xml:space="preserve">15</w:t>
            </w:r>
          </w:p>
        </w:tc>
        <w:tc>
          <w:tcPr/>
          <w:p>
            <w:pPr>
              <w:pStyle w:val="Compact"/>
              <w:jc w:val="left"/>
            </w:pPr>
            <w:r>
              <w:t xml:space="preserve">0.9991026</w:t>
            </w:r>
          </w:p>
        </w:tc>
      </w:tr>
      <w:tr>
        <w:tc>
          <w:tcPr/>
          <w:p>
            <w:pPr>
              <w:pStyle w:val="Compact"/>
              <w:jc w:val="left"/>
            </w:pPr>
            <w:r>
              <w:t xml:space="preserve">20</w:t>
            </w:r>
          </w:p>
        </w:tc>
        <w:tc>
          <w:tcPr/>
          <w:p>
            <w:pPr>
              <w:pStyle w:val="Compact"/>
              <w:jc w:val="left"/>
            </w:pPr>
            <w:r>
              <w:t xml:space="preserve">0.9982071</w:t>
            </w:r>
          </w:p>
        </w:tc>
      </w:tr>
      <w:tr>
        <w:tc>
          <w:tcPr/>
          <w:p>
            <w:pPr>
              <w:pStyle w:val="Compact"/>
              <w:jc w:val="left"/>
            </w:pPr>
            <w:r>
              <w:t xml:space="preserve">22</w:t>
            </w:r>
          </w:p>
        </w:tc>
        <w:tc>
          <w:tcPr/>
          <w:p>
            <w:pPr>
              <w:pStyle w:val="Compact"/>
              <w:jc w:val="left"/>
            </w:pPr>
            <w:r>
              <w:t xml:space="preserve">0.9977735</w:t>
            </w:r>
          </w:p>
        </w:tc>
      </w:tr>
      <w:tr>
        <w:tc>
          <w:tcPr/>
          <w:p>
            <w:pPr>
              <w:pStyle w:val="Compact"/>
              <w:jc w:val="left"/>
            </w:pPr>
            <w:r>
              <w:t xml:space="preserve">25</w:t>
            </w:r>
          </w:p>
        </w:tc>
        <w:tc>
          <w:tcPr/>
          <w:p>
            <w:pPr>
              <w:pStyle w:val="Compact"/>
              <w:jc w:val="left"/>
            </w:pPr>
            <w:r>
              <w:t xml:space="preserve">0.9970479</w:t>
            </w:r>
          </w:p>
        </w:tc>
      </w:tr>
      <w:tr>
        <w:tc>
          <w:tcPr/>
          <w:p>
            <w:pPr>
              <w:pStyle w:val="Compact"/>
              <w:jc w:val="left"/>
            </w:pPr>
            <w:r>
              <w:t xml:space="preserve">30</w:t>
            </w:r>
          </w:p>
        </w:tc>
        <w:tc>
          <w:tcPr/>
          <w:p>
            <w:pPr>
              <w:pStyle w:val="Compact"/>
              <w:jc w:val="left"/>
            </w:pPr>
            <w:r>
              <w:t xml:space="preserve">0.9956502</w:t>
            </w:r>
          </w:p>
        </w:tc>
      </w:tr>
      <w:tr>
        <w:tc>
          <w:tcPr/>
          <w:p>
            <w:pPr>
              <w:pStyle w:val="Compact"/>
              <w:jc w:val="left"/>
            </w:pPr>
            <w:r>
              <w:t xml:space="preserve">40</w:t>
            </w:r>
          </w:p>
        </w:tc>
        <w:tc>
          <w:tcPr/>
          <w:p>
            <w:pPr>
              <w:pStyle w:val="Compact"/>
              <w:jc w:val="left"/>
            </w:pPr>
            <w:r>
              <w:t xml:space="preserve">0.9922</w:t>
            </w:r>
          </w:p>
        </w:tc>
      </w:tr>
      <w:tr>
        <w:tc>
          <w:tcPr/>
          <w:p>
            <w:pPr>
              <w:pStyle w:val="Compact"/>
              <w:jc w:val="left"/>
            </w:pPr>
            <w:r>
              <w:t xml:space="preserve">60</w:t>
            </w:r>
          </w:p>
        </w:tc>
        <w:tc>
          <w:tcPr/>
          <w:p>
            <w:pPr>
              <w:pStyle w:val="Compact"/>
              <w:jc w:val="left"/>
            </w:pPr>
            <w:r>
              <w:t xml:space="preserve">0.9832</w:t>
            </w:r>
          </w:p>
        </w:tc>
      </w:tr>
      <w:tr>
        <w:tc>
          <w:tcPr/>
          <w:p>
            <w:pPr>
              <w:pStyle w:val="Compact"/>
              <w:jc w:val="left"/>
            </w:pPr>
            <w:r>
              <w:t xml:space="preserve">80</w:t>
            </w:r>
          </w:p>
        </w:tc>
        <w:tc>
          <w:tcPr/>
          <w:p>
            <w:pPr>
              <w:pStyle w:val="Compact"/>
              <w:jc w:val="left"/>
            </w:pPr>
            <w:r>
              <w:t xml:space="preserve">0.9718</w:t>
            </w:r>
          </w:p>
        </w:tc>
      </w:tr>
      <w:tr>
        <w:tc>
          <w:tcPr/>
          <w:p>
            <w:pPr>
              <w:pStyle w:val="Compact"/>
              <w:jc w:val="left"/>
            </w:pPr>
            <w:r>
              <w:t xml:space="preserve">100</w:t>
            </w:r>
          </w:p>
        </w:tc>
        <w:tc>
          <w:tcPr/>
          <w:p>
            <w:pPr>
              <w:pStyle w:val="Compact"/>
              <w:jc w:val="left"/>
            </w:pPr>
            <w:r>
              <w:t xml:space="preserve">0.9584</w:t>
            </w:r>
          </w:p>
        </w:tc>
      </w:tr>
    </w:tbl>
    <w:bookmarkEnd w:id="20"/>
    <w:p>
      <w:pPr>
        <w:pStyle w:val="TextBody"/>
      </w:pPr>
      <w:r>
        <w:t xml:space="preserve">Table</w:t>
      </w:r>
      <w:r>
        <w:t xml:space="preserve"> </w:t>
      </w:r>
      <w:r>
        <w:t xml:space="preserve"> </w:t>
      </w:r>
      <w:r>
        <w:t xml:space="preserve">E1</w:t>
      </w:r>
      <w:r>
        <w:t xml:space="preserve"> </w:t>
      </w:r>
      <w:r>
        <w:t xml:space="preserve"> </w:t>
      </w:r>
      <w:r>
        <w:t xml:space="preserve"> </w:t>
      </w:r>
      <w:r>
        <w:t xml:space="preserve"> </w:t>
      </w:r>
    </w:p>
    <w:p>
      <w:pPr>
        <w:pStyle w:val="TextBody"/>
      </w:pPr>
      <w:bookmarkStart w:id="24" w:name="fs-idm271037008"/>
      <w:r>
        <w:t xml:space="preserve"> </w:t>
      </w:r>
      <w:r>
        <w:drawing>
          <wp:inline>
            <wp:extent cx="4457700" cy="3191256"/>
            <wp:effectExtent b="0" l="0" r="0" t="0"/>
            <wp:docPr descr="A line graph is titled “Density of Water as a Function of Temperature.” The x-axis is titled “Temperature, degrees Celsius,” and the y-axis is titled “Density, Kilograms per cubic meter.” A line connects plot points at the coordinates 0 and 999.8395, 4 and 999.9720, 10 and 999.7026, 15 and 999.1026, 20 and 998.2071, 22 and 997.7735, 25 and 997.0479, 30 and 995.6502, 40 and 992.2, 60 and 983.2, 80 and 971.8, and 100 and 958.4. " title="" id="22" name="Picture"/>
            <a:graphic>
              <a:graphicData uri="http://schemas.openxmlformats.org/drawingml/2006/picture">
                <pic:pic>
                  <pic:nvPicPr>
                    <pic:cNvPr descr="../resources/62a89368c9aabbefeab759149b151c402bc2c4d5" id="23" name="Picture"/>
                    <pic:cNvPicPr>
                      <a:picLocks noChangeArrowheads="1" noChangeAspect="1"/>
                    </pic:cNvPicPr>
                  </pic:nvPicPr>
                  <pic:blipFill>
                    <a:blip r:embed="rId21"/>
                    <a:stretch>
                      <a:fillRect/>
                    </a:stretch>
                  </pic:blipFill>
                  <pic:spPr bwMode="auto">
                    <a:xfrm>
                      <a:off x="0" y="0"/>
                      <a:ext cx="4457700" cy="3191256"/>
                    </a:xfrm>
                    <a:prstGeom prst="rect">
                      <a:avLst/>
                    </a:prstGeom>
                    <a:noFill/>
                    <a:ln w="9525">
                      <a:noFill/>
                      <a:headEnd/>
                      <a:tailEnd/>
                    </a:ln>
                  </pic:spPr>
                </pic:pic>
              </a:graphicData>
            </a:graphic>
          </wp:inline>
        </w:drawing>
      </w:r>
      <w:r>
        <w:t xml:space="preserve"> </w:t>
      </w:r>
      <w:bookmarkEnd w:id="24"/>
    </w:p>
    <w:p>
      <w:pPr>
        <w:pStyle w:val="TextBody"/>
      </w:pPr>
      <w:r>
        <w:t xml:space="preserve">Water Vapor Pressure at Different Temperatures (°C)</w:t>
      </w:r>
    </w:p>
    <w:bookmarkStart w:id="25" w:name="fs-idm352250464"/>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Temperature</w:t>
            </w:r>
          </w:p>
        </w:tc>
        <w:tc>
          <w:tcPr/>
          <w:p>
            <w:pPr>
              <w:pStyle w:val="Compact"/>
              <w:jc w:val="left"/>
            </w:pPr>
            <w:r>
              <w:t xml:space="preserve">Vapor Pressure (torr)</w:t>
            </w:r>
          </w:p>
        </w:tc>
        <w:tc>
          <w:tcPr/>
          <w:p>
            <w:pPr>
              <w:pStyle w:val="Compact"/>
              <w:jc w:val="left"/>
            </w:pPr>
            <w:r>
              <w:t xml:space="preserve">Vapor Pressure (Pa)</w:t>
            </w:r>
          </w:p>
        </w:tc>
      </w:tr>
      <w:tr>
        <w:tc>
          <w:tcPr/>
          <w:p>
            <w:pPr>
              <w:pStyle w:val="Compact"/>
              <w:jc w:val="left"/>
            </w:pPr>
            <w:r>
              <w:t xml:space="preserve">0</w:t>
            </w:r>
          </w:p>
        </w:tc>
        <w:tc>
          <w:tcPr/>
          <w:p>
            <w:pPr>
              <w:pStyle w:val="Compact"/>
              <w:jc w:val="left"/>
            </w:pPr>
            <w:r>
              <w:t xml:space="preserve">4.6</w:t>
            </w:r>
          </w:p>
        </w:tc>
        <w:tc>
          <w:tcPr/>
          <w:p>
            <w:pPr>
              <w:pStyle w:val="Compact"/>
              <w:jc w:val="left"/>
            </w:pPr>
            <w:r>
              <w:t xml:space="preserve">613.2812</w:t>
            </w:r>
          </w:p>
        </w:tc>
      </w:tr>
      <w:tr>
        <w:tc>
          <w:tcPr/>
          <w:p>
            <w:pPr>
              <w:pStyle w:val="Compact"/>
              <w:jc w:val="left"/>
            </w:pPr>
            <w:r>
              <w:t xml:space="preserve">4</w:t>
            </w:r>
          </w:p>
        </w:tc>
        <w:tc>
          <w:tcPr/>
          <w:p>
            <w:pPr>
              <w:pStyle w:val="Compact"/>
              <w:jc w:val="left"/>
            </w:pPr>
            <w:r>
              <w:t xml:space="preserve">6.1</w:t>
            </w:r>
          </w:p>
        </w:tc>
        <w:tc>
          <w:tcPr/>
          <w:p>
            <w:pPr>
              <w:pStyle w:val="Compact"/>
              <w:jc w:val="left"/>
            </w:pPr>
            <w:r>
              <w:t xml:space="preserve">813.2642</w:t>
            </w:r>
          </w:p>
        </w:tc>
      </w:tr>
      <w:tr>
        <w:tc>
          <w:tcPr/>
          <w:p>
            <w:pPr>
              <w:pStyle w:val="Compact"/>
              <w:jc w:val="left"/>
            </w:pPr>
            <w:r>
              <w:t xml:space="preserve">10</w:t>
            </w:r>
          </w:p>
        </w:tc>
        <w:tc>
          <w:tcPr/>
          <w:p>
            <w:pPr>
              <w:pStyle w:val="Compact"/>
              <w:jc w:val="left"/>
            </w:pPr>
            <w:r>
              <w:t xml:space="preserve">9.2</w:t>
            </w:r>
          </w:p>
        </w:tc>
        <w:tc>
          <w:tcPr/>
          <w:p>
            <w:pPr>
              <w:pStyle w:val="Compact"/>
              <w:jc w:val="left"/>
            </w:pPr>
            <w:r>
              <w:t xml:space="preserve">1226.562</w:t>
            </w:r>
          </w:p>
        </w:tc>
      </w:tr>
      <w:tr>
        <w:tc>
          <w:tcPr/>
          <w:p>
            <w:pPr>
              <w:pStyle w:val="Compact"/>
              <w:jc w:val="left"/>
            </w:pPr>
            <w:r>
              <w:t xml:space="preserve">15</w:t>
            </w:r>
          </w:p>
        </w:tc>
        <w:tc>
          <w:tcPr/>
          <w:p>
            <w:pPr>
              <w:pStyle w:val="Compact"/>
              <w:jc w:val="left"/>
            </w:pPr>
            <w:r>
              <w:t xml:space="preserve">12.8</w:t>
            </w:r>
          </w:p>
        </w:tc>
        <w:tc>
          <w:tcPr/>
          <w:p>
            <w:pPr>
              <w:pStyle w:val="Compact"/>
              <w:jc w:val="left"/>
            </w:pPr>
            <w:r>
              <w:t xml:space="preserve">1706.522</w:t>
            </w:r>
          </w:p>
        </w:tc>
      </w:tr>
      <w:tr>
        <w:tc>
          <w:tcPr/>
          <w:p>
            <w:pPr>
              <w:pStyle w:val="Compact"/>
              <w:jc w:val="left"/>
            </w:pPr>
            <w:r>
              <w:t xml:space="preserve">20</w:t>
            </w:r>
          </w:p>
        </w:tc>
        <w:tc>
          <w:tcPr/>
          <w:p>
            <w:pPr>
              <w:pStyle w:val="Compact"/>
              <w:jc w:val="left"/>
            </w:pPr>
            <w:r>
              <w:t xml:space="preserve">17.5</w:t>
            </w:r>
          </w:p>
        </w:tc>
        <w:tc>
          <w:tcPr/>
          <w:p>
            <w:pPr>
              <w:pStyle w:val="Compact"/>
              <w:jc w:val="left"/>
            </w:pPr>
            <w:r>
              <w:t xml:space="preserve">2333.135</w:t>
            </w:r>
          </w:p>
        </w:tc>
      </w:tr>
      <w:tr>
        <w:tc>
          <w:tcPr/>
          <w:p>
            <w:pPr>
              <w:pStyle w:val="Compact"/>
              <w:jc w:val="left"/>
            </w:pPr>
            <w:r>
              <w:t xml:space="preserve">22</w:t>
            </w:r>
          </w:p>
        </w:tc>
        <w:tc>
          <w:tcPr/>
          <w:p>
            <w:pPr>
              <w:pStyle w:val="Compact"/>
              <w:jc w:val="left"/>
            </w:pPr>
            <w:r>
              <w:t xml:space="preserve">19.8</w:t>
            </w:r>
          </w:p>
        </w:tc>
        <w:tc>
          <w:tcPr/>
          <w:p>
            <w:pPr>
              <w:pStyle w:val="Compact"/>
              <w:jc w:val="left"/>
            </w:pPr>
            <w:r>
              <w:t xml:space="preserve">2639.776</w:t>
            </w:r>
          </w:p>
        </w:tc>
      </w:tr>
      <w:tr>
        <w:tc>
          <w:tcPr/>
          <w:p>
            <w:pPr>
              <w:pStyle w:val="Compact"/>
              <w:jc w:val="left"/>
            </w:pPr>
            <w:r>
              <w:t xml:space="preserve">25</w:t>
            </w:r>
          </w:p>
        </w:tc>
        <w:tc>
          <w:tcPr/>
          <w:p>
            <w:pPr>
              <w:pStyle w:val="Compact"/>
              <w:jc w:val="left"/>
            </w:pPr>
            <w:r>
              <w:t xml:space="preserve">23.8</w:t>
            </w:r>
          </w:p>
        </w:tc>
        <w:tc>
          <w:tcPr/>
          <w:p>
            <w:pPr>
              <w:pStyle w:val="Compact"/>
              <w:jc w:val="left"/>
            </w:pPr>
            <w:r>
              <w:t xml:space="preserve">3173.064</w:t>
            </w:r>
          </w:p>
        </w:tc>
      </w:tr>
      <w:tr>
        <w:tc>
          <w:tcPr/>
          <w:p>
            <w:pPr>
              <w:pStyle w:val="Compact"/>
              <w:jc w:val="left"/>
            </w:pPr>
            <w:r>
              <w:t xml:space="preserve">30</w:t>
            </w:r>
          </w:p>
        </w:tc>
        <w:tc>
          <w:tcPr/>
          <w:p>
            <w:pPr>
              <w:pStyle w:val="Compact"/>
              <w:jc w:val="left"/>
            </w:pPr>
            <w:r>
              <w:t xml:space="preserve">31.8</w:t>
            </w:r>
          </w:p>
        </w:tc>
        <w:tc>
          <w:tcPr/>
          <w:p>
            <w:pPr>
              <w:pStyle w:val="Compact"/>
              <w:jc w:val="left"/>
            </w:pPr>
            <w:r>
              <w:t xml:space="preserve">4239.64</w:t>
            </w:r>
          </w:p>
        </w:tc>
      </w:tr>
      <w:tr>
        <w:tc>
          <w:tcPr/>
          <w:p>
            <w:pPr>
              <w:pStyle w:val="Compact"/>
              <w:jc w:val="left"/>
            </w:pPr>
            <w:r>
              <w:t xml:space="preserve">35</w:t>
            </w:r>
          </w:p>
        </w:tc>
        <w:tc>
          <w:tcPr/>
          <w:p>
            <w:pPr>
              <w:pStyle w:val="Compact"/>
              <w:jc w:val="left"/>
            </w:pPr>
            <w:r>
              <w:t xml:space="preserve">42.2</w:t>
            </w:r>
          </w:p>
        </w:tc>
        <w:tc>
          <w:tcPr/>
          <w:p>
            <w:pPr>
              <w:pStyle w:val="Compact"/>
              <w:jc w:val="left"/>
            </w:pPr>
            <w:r>
              <w:t xml:space="preserve">5626.188</w:t>
            </w:r>
          </w:p>
        </w:tc>
      </w:tr>
      <w:tr>
        <w:tc>
          <w:tcPr/>
          <w:p>
            <w:pPr>
              <w:pStyle w:val="Compact"/>
              <w:jc w:val="left"/>
            </w:pPr>
            <w:r>
              <w:t xml:space="preserve">40</w:t>
            </w:r>
          </w:p>
        </w:tc>
        <w:tc>
          <w:tcPr/>
          <w:p>
            <w:pPr>
              <w:pStyle w:val="Compact"/>
              <w:jc w:val="left"/>
            </w:pPr>
            <w:r>
              <w:t xml:space="preserve">55.3</w:t>
            </w:r>
          </w:p>
        </w:tc>
        <w:tc>
          <w:tcPr/>
          <w:p>
            <w:pPr>
              <w:pStyle w:val="Compact"/>
              <w:jc w:val="left"/>
            </w:pPr>
            <w:r>
              <w:t xml:space="preserve">7372.707</w:t>
            </w:r>
          </w:p>
        </w:tc>
      </w:tr>
      <w:tr>
        <w:tc>
          <w:tcPr/>
          <w:p>
            <w:pPr>
              <w:pStyle w:val="Compact"/>
              <w:jc w:val="left"/>
            </w:pPr>
            <w:r>
              <w:t xml:space="preserve">45</w:t>
            </w:r>
          </w:p>
        </w:tc>
        <w:tc>
          <w:tcPr/>
          <w:p>
            <w:pPr>
              <w:pStyle w:val="Compact"/>
              <w:jc w:val="left"/>
            </w:pPr>
            <w:r>
              <w:t xml:space="preserve">71.9</w:t>
            </w:r>
          </w:p>
        </w:tc>
        <w:tc>
          <w:tcPr/>
          <w:p>
            <w:pPr>
              <w:pStyle w:val="Compact"/>
              <w:jc w:val="left"/>
            </w:pPr>
            <w:r>
              <w:t xml:space="preserve">9585.852</w:t>
            </w:r>
          </w:p>
        </w:tc>
      </w:tr>
      <w:tr>
        <w:tc>
          <w:tcPr/>
          <w:p>
            <w:pPr>
              <w:pStyle w:val="Compact"/>
              <w:jc w:val="left"/>
            </w:pPr>
            <w:r>
              <w:t xml:space="preserve">50</w:t>
            </w:r>
          </w:p>
        </w:tc>
        <w:tc>
          <w:tcPr/>
          <w:p>
            <w:pPr>
              <w:pStyle w:val="Compact"/>
              <w:jc w:val="left"/>
            </w:pPr>
            <w:r>
              <w:t xml:space="preserve">92.5</w:t>
            </w:r>
          </w:p>
        </w:tc>
        <w:tc>
          <w:tcPr/>
          <w:p>
            <w:pPr>
              <w:pStyle w:val="Compact"/>
              <w:jc w:val="left"/>
            </w:pPr>
            <w:r>
              <w:t xml:space="preserve">12332.29</w:t>
            </w:r>
          </w:p>
        </w:tc>
      </w:tr>
      <w:tr>
        <w:tc>
          <w:tcPr/>
          <w:p>
            <w:pPr>
              <w:pStyle w:val="Compact"/>
              <w:jc w:val="left"/>
            </w:pPr>
            <w:r>
              <w:t xml:space="preserve">55</w:t>
            </w:r>
          </w:p>
        </w:tc>
        <w:tc>
          <w:tcPr/>
          <w:p>
            <w:pPr>
              <w:pStyle w:val="Compact"/>
              <w:jc w:val="left"/>
            </w:pPr>
            <w:r>
              <w:t xml:space="preserve">118.0</w:t>
            </w:r>
          </w:p>
        </w:tc>
        <w:tc>
          <w:tcPr/>
          <w:p>
            <w:pPr>
              <w:pStyle w:val="Compact"/>
              <w:jc w:val="left"/>
            </w:pPr>
            <w:r>
              <w:t xml:space="preserve">15732</w:t>
            </w:r>
          </w:p>
        </w:tc>
      </w:tr>
      <w:tr>
        <w:tc>
          <w:tcPr/>
          <w:p>
            <w:pPr>
              <w:pStyle w:val="Compact"/>
              <w:jc w:val="left"/>
            </w:pPr>
            <w:r>
              <w:t xml:space="preserve">60</w:t>
            </w:r>
          </w:p>
        </w:tc>
        <w:tc>
          <w:tcPr/>
          <w:p>
            <w:pPr>
              <w:pStyle w:val="Compact"/>
              <w:jc w:val="left"/>
            </w:pPr>
            <w:r>
              <w:t xml:space="preserve">149.4</w:t>
            </w:r>
          </w:p>
        </w:tc>
        <w:tc>
          <w:tcPr/>
          <w:p>
            <w:pPr>
              <w:pStyle w:val="Compact"/>
              <w:jc w:val="left"/>
            </w:pPr>
            <w:r>
              <w:t xml:space="preserve">19918.31</w:t>
            </w:r>
          </w:p>
        </w:tc>
      </w:tr>
      <w:tr>
        <w:tc>
          <w:tcPr/>
          <w:p>
            <w:pPr>
              <w:pStyle w:val="Compact"/>
              <w:jc w:val="left"/>
            </w:pPr>
            <w:r>
              <w:t xml:space="preserve">65</w:t>
            </w:r>
          </w:p>
        </w:tc>
        <w:tc>
          <w:tcPr/>
          <w:p>
            <w:pPr>
              <w:pStyle w:val="Compact"/>
              <w:jc w:val="left"/>
            </w:pPr>
            <w:r>
              <w:t xml:space="preserve">187.5</w:t>
            </w:r>
          </w:p>
        </w:tc>
        <w:tc>
          <w:tcPr/>
          <w:p>
            <w:pPr>
              <w:pStyle w:val="Compact"/>
              <w:jc w:val="left"/>
            </w:pPr>
            <w:r>
              <w:t xml:space="preserve">24997.88</w:t>
            </w:r>
          </w:p>
        </w:tc>
      </w:tr>
      <w:tr>
        <w:tc>
          <w:tcPr/>
          <w:p>
            <w:pPr>
              <w:pStyle w:val="Compact"/>
              <w:jc w:val="left"/>
            </w:pPr>
            <w:r>
              <w:t xml:space="preserve">70</w:t>
            </w:r>
          </w:p>
        </w:tc>
        <w:tc>
          <w:tcPr/>
          <w:p>
            <w:pPr>
              <w:pStyle w:val="Compact"/>
              <w:jc w:val="left"/>
            </w:pPr>
            <w:r>
              <w:t xml:space="preserve">233.7</w:t>
            </w:r>
          </w:p>
        </w:tc>
        <w:tc>
          <w:tcPr/>
          <w:p>
            <w:pPr>
              <w:pStyle w:val="Compact"/>
              <w:jc w:val="left"/>
            </w:pPr>
            <w:r>
              <w:t xml:space="preserve">31157.35</w:t>
            </w:r>
          </w:p>
        </w:tc>
      </w:tr>
      <w:tr>
        <w:tc>
          <w:tcPr/>
          <w:p>
            <w:pPr>
              <w:pStyle w:val="Compact"/>
              <w:jc w:val="left"/>
            </w:pPr>
            <w:r>
              <w:t xml:space="preserve">75</w:t>
            </w:r>
          </w:p>
        </w:tc>
        <w:tc>
          <w:tcPr/>
          <w:p>
            <w:pPr>
              <w:pStyle w:val="Compact"/>
              <w:jc w:val="left"/>
            </w:pPr>
            <w:r>
              <w:t xml:space="preserve">289.1</w:t>
            </w:r>
          </w:p>
        </w:tc>
        <w:tc>
          <w:tcPr/>
          <w:p>
            <w:pPr>
              <w:pStyle w:val="Compact"/>
              <w:jc w:val="left"/>
            </w:pPr>
            <w:r>
              <w:t xml:space="preserve">38543.39</w:t>
            </w:r>
          </w:p>
        </w:tc>
      </w:tr>
      <w:tr>
        <w:tc>
          <w:tcPr/>
          <w:p>
            <w:pPr>
              <w:pStyle w:val="Compact"/>
              <w:jc w:val="left"/>
            </w:pPr>
            <w:r>
              <w:t xml:space="preserve">80</w:t>
            </w:r>
          </w:p>
        </w:tc>
        <w:tc>
          <w:tcPr/>
          <w:p>
            <w:pPr>
              <w:pStyle w:val="Compact"/>
              <w:jc w:val="left"/>
            </w:pPr>
            <w:r>
              <w:t xml:space="preserve">355.1</w:t>
            </w:r>
          </w:p>
        </w:tc>
        <w:tc>
          <w:tcPr/>
          <w:p>
            <w:pPr>
              <w:pStyle w:val="Compact"/>
              <w:jc w:val="left"/>
            </w:pPr>
            <w:r>
              <w:t xml:space="preserve">47342.64</w:t>
            </w:r>
          </w:p>
        </w:tc>
      </w:tr>
      <w:tr>
        <w:tc>
          <w:tcPr/>
          <w:p>
            <w:pPr>
              <w:pStyle w:val="Compact"/>
              <w:jc w:val="left"/>
            </w:pPr>
            <w:r>
              <w:t xml:space="preserve">85</w:t>
            </w:r>
          </w:p>
        </w:tc>
        <w:tc>
          <w:tcPr/>
          <w:p>
            <w:pPr>
              <w:pStyle w:val="Compact"/>
              <w:jc w:val="left"/>
            </w:pPr>
            <w:r>
              <w:t xml:space="preserve">433.6</w:t>
            </w:r>
          </w:p>
        </w:tc>
        <w:tc>
          <w:tcPr/>
          <w:p>
            <w:pPr>
              <w:pStyle w:val="Compact"/>
              <w:jc w:val="left"/>
            </w:pPr>
            <w:r>
              <w:t xml:space="preserve">57808.42</w:t>
            </w:r>
          </w:p>
        </w:tc>
      </w:tr>
      <w:tr>
        <w:tc>
          <w:tcPr/>
          <w:p>
            <w:pPr>
              <w:pStyle w:val="Compact"/>
              <w:jc w:val="left"/>
            </w:pPr>
            <w:r>
              <w:t xml:space="preserve">90</w:t>
            </w:r>
          </w:p>
        </w:tc>
        <w:tc>
          <w:tcPr/>
          <w:p>
            <w:pPr>
              <w:pStyle w:val="Compact"/>
              <w:jc w:val="left"/>
            </w:pPr>
            <w:r>
              <w:t xml:space="preserve">525.8</w:t>
            </w:r>
          </w:p>
        </w:tc>
        <w:tc>
          <w:tcPr/>
          <w:p>
            <w:pPr>
              <w:pStyle w:val="Compact"/>
              <w:jc w:val="left"/>
            </w:pPr>
            <w:r>
              <w:t xml:space="preserve">70100.71</w:t>
            </w:r>
          </w:p>
        </w:tc>
      </w:tr>
      <w:tr>
        <w:tc>
          <w:tcPr/>
          <w:p>
            <w:pPr>
              <w:pStyle w:val="Compact"/>
              <w:jc w:val="left"/>
            </w:pPr>
            <w:r>
              <w:t xml:space="preserve">95</w:t>
            </w:r>
          </w:p>
        </w:tc>
        <w:tc>
          <w:tcPr/>
          <w:p>
            <w:pPr>
              <w:pStyle w:val="Compact"/>
              <w:jc w:val="left"/>
            </w:pPr>
            <w:r>
              <w:t xml:space="preserve">633.9</w:t>
            </w:r>
          </w:p>
        </w:tc>
        <w:tc>
          <w:tcPr/>
          <w:p>
            <w:pPr>
              <w:pStyle w:val="Compact"/>
              <w:jc w:val="left"/>
            </w:pPr>
            <w:r>
              <w:t xml:space="preserve">84512.82</w:t>
            </w:r>
          </w:p>
        </w:tc>
      </w:tr>
      <w:tr>
        <w:tc>
          <w:tcPr/>
          <w:p>
            <w:pPr>
              <w:pStyle w:val="Compact"/>
              <w:jc w:val="left"/>
            </w:pPr>
            <w:r>
              <w:t xml:space="preserve">100</w:t>
            </w:r>
          </w:p>
        </w:tc>
        <w:tc>
          <w:tcPr/>
          <w:p>
            <w:pPr>
              <w:pStyle w:val="Compact"/>
              <w:jc w:val="left"/>
            </w:pPr>
            <w:r>
              <w:t xml:space="preserve">760.0</w:t>
            </w:r>
          </w:p>
        </w:tc>
        <w:tc>
          <w:tcPr/>
          <w:p>
            <w:pPr>
              <w:pStyle w:val="Compact"/>
              <w:jc w:val="left"/>
            </w:pPr>
            <w:r>
              <w:t xml:space="preserve">101324.7</w:t>
            </w:r>
          </w:p>
        </w:tc>
      </w:tr>
    </w:tbl>
    <w:bookmarkEnd w:id="25"/>
    <w:p>
      <w:pPr>
        <w:pStyle w:val="TextBody"/>
      </w:pPr>
      <w:r>
        <w:t xml:space="preserve">Table</w:t>
      </w:r>
      <w:r>
        <w:t xml:space="preserve"> </w:t>
      </w:r>
      <w:r>
        <w:t xml:space="preserve"> </w:t>
      </w:r>
      <w:r>
        <w:t xml:space="preserve">E2</w:t>
      </w:r>
      <w:r>
        <w:t xml:space="preserve"> </w:t>
      </w:r>
      <w:r>
        <w:t xml:space="preserve"> </w:t>
      </w:r>
      <w:r>
        <w:t xml:space="preserve"> </w:t>
      </w:r>
      <w:r>
        <w:t xml:space="preserve"> </w:t>
      </w:r>
    </w:p>
    <w:p>
      <w:pPr>
        <w:pStyle w:val="TextBody"/>
      </w:pPr>
      <w:bookmarkStart w:id="29" w:name="fs-idm60922784"/>
      <w:r>
        <w:t xml:space="preserve"> </w:t>
      </w:r>
      <w:r>
        <w:drawing>
          <wp:inline>
            <wp:extent cx="4457700" cy="3369564"/>
            <wp:effectExtent b="0" l="0" r="0" t="0"/>
            <wp:docPr descr="A line graph is titled “Vapor Pressure as a Function of Temperature.” The x-axis is titled “Temperature, degrees Celsius,” and the y-axis is titled “Vapor pressure, torr.” A line connects plot points at the coordinates 0 and 4.6, 4 and 6.1, 10 and 9.2, 15 and 12.8, 20 and 17.5, 22 and 19.8, 25 and 23.8, 30 and 31.8, 35 and 42.2, 40 and 55.3, 45 and 71.9, 50 and 92.5, 55 and 118.0, 60 and 149.4, 65 and 187.5, 70 and 233.7, 75 and 289.1, 80 and 355.1, 85 and 433.6, 90 and 525.8, 95 and 633.9, and 100 and 760.0." title="" id="27" name="Picture"/>
            <a:graphic>
              <a:graphicData uri="http://schemas.openxmlformats.org/drawingml/2006/picture">
                <pic:pic>
                  <pic:nvPicPr>
                    <pic:cNvPr descr="../resources/d97a91c4f6c46cdc121ae10bc16525c4da19a203" id="28" name="Picture"/>
                    <pic:cNvPicPr>
                      <a:picLocks noChangeArrowheads="1" noChangeAspect="1"/>
                    </pic:cNvPicPr>
                  </pic:nvPicPr>
                  <pic:blipFill>
                    <a:blip r:embed="rId26"/>
                    <a:stretch>
                      <a:fillRect/>
                    </a:stretch>
                  </pic:blipFill>
                  <pic:spPr bwMode="auto">
                    <a:xfrm>
                      <a:off x="0" y="0"/>
                      <a:ext cx="4457700" cy="3369564"/>
                    </a:xfrm>
                    <a:prstGeom prst="rect">
                      <a:avLst/>
                    </a:prstGeom>
                    <a:noFill/>
                    <a:ln w="9525">
                      <a:noFill/>
                      <a:headEnd/>
                      <a:tailEnd/>
                    </a:ln>
                  </pic:spPr>
                </pic:pic>
              </a:graphicData>
            </a:graphic>
          </wp:inline>
        </w:drawing>
      </w:r>
      <w:r>
        <w:t xml:space="preserve"> </w:t>
      </w:r>
      <w:bookmarkEnd w:id="29"/>
    </w:p>
    <w:p>
      <w:pPr>
        <w:pStyle w:val="TextBody"/>
      </w:pPr>
      <w:r>
        <w:t xml:space="preserve">Water K</w:t>
      </w:r>
      <w:r>
        <w:rPr>
          <w:vertAlign w:val="subscript"/>
        </w:rPr>
        <w:t xml:space="preserve">w</w:t>
      </w:r>
      <w:r>
        <w:t xml:space="preserve"> </w:t>
      </w:r>
      <w:r>
        <w:t xml:space="preserve">and pK</w:t>
      </w:r>
      <w:r>
        <w:rPr>
          <w:vertAlign w:val="subscript"/>
        </w:rPr>
        <w:t xml:space="preserve">w</w:t>
      </w:r>
      <w:r>
        <w:t xml:space="preserve"> </w:t>
      </w:r>
      <w:r>
        <w:t xml:space="preserve">at Different Temperatures (°C)</w:t>
      </w:r>
    </w:p>
    <w:bookmarkStart w:id="30" w:name="fs-idm245013232"/>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Temperature</w:t>
            </w:r>
          </w:p>
        </w:tc>
        <w:tc>
          <w:tcPr/>
          <w:p>
            <w:pPr>
              <w:pStyle w:val="Compact"/>
              <w:jc w:val="left"/>
            </w:pPr>
            <w:r>
              <w:t xml:space="preserve">K</w:t>
            </w:r>
            <w:r>
              <w:rPr>
                <w:vertAlign w:val="subscript"/>
              </w:rPr>
              <w:t xml:space="preserve">w</w:t>
            </w:r>
            <w:r>
              <w:t xml:space="preserve"> </w:t>
            </w:r>
            <w:r>
              <w:t xml:space="preserve">10</w:t>
            </w:r>
            <w:r>
              <w:rPr>
                <w:vertAlign w:val="superscript"/>
              </w:rPr>
              <w:t xml:space="preserve">–14</w:t>
            </w:r>
          </w:p>
        </w:tc>
        <w:tc>
          <w:tcPr/>
          <w:p>
            <w:pPr>
              <w:pStyle w:val="Compact"/>
              <w:jc w:val="left"/>
            </w:pPr>
            <w:r>
              <w:t xml:space="preserve">pK</w:t>
            </w:r>
            <w:r>
              <w:rPr>
                <w:vertAlign w:val="subscript"/>
              </w:rPr>
              <w:t xml:space="preserve">w</w:t>
            </w:r>
            <w:hyperlink w:anchor="fs-idm106976512">
              <w:r>
                <w:rPr>
                  <w:rStyle w:val="InternetLink"/>
                </w:rPr>
                <w:t xml:space="preserve">1</w:t>
              </w:r>
            </w:hyperlink>
          </w:p>
          <w:p>
            <w:pPr>
              <w:pStyle w:val="Compact"/>
              <w:jc w:val="left"/>
            </w:pPr>
            <w:r>
              <w:t xml:space="preserve">1</w:t>
            </w:r>
          </w:p>
          <w:p>
            <w:pPr>
              <w:pStyle w:val="Compact"/>
              <w:jc w:val="left"/>
            </w:pPr>
            <w:r>
              <w:t xml:space="preserve">pK</w:t>
            </w:r>
            <w:r>
              <w:rPr>
                <w:vertAlign w:val="subscript"/>
              </w:rPr>
              <w:t xml:space="preserve">w</w:t>
            </w:r>
            <w:r>
              <w:t xml:space="preserve"> </w:t>
            </w:r>
            <w:r>
              <w:t xml:space="preserve">= –log</w:t>
            </w:r>
            <w:r>
              <w:rPr>
                <w:vertAlign w:val="subscript"/>
              </w:rPr>
              <w:t xml:space="preserve">10</w:t>
            </w:r>
            <w:r>
              <w:t xml:space="preserve">(K</w:t>
            </w:r>
            <w:r>
              <w:rPr>
                <w:vertAlign w:val="subscript"/>
              </w:rPr>
              <w:t xml:space="preserve">w</w:t>
            </w:r>
            <w:r>
              <w:t xml:space="preserve">)</w:t>
            </w:r>
          </w:p>
        </w:tc>
      </w:tr>
      <w:tr>
        <w:tc>
          <w:tcPr/>
          <w:p>
            <w:pPr>
              <w:pStyle w:val="Compact"/>
              <w:jc w:val="left"/>
            </w:pPr>
            <w:r>
              <w:t xml:space="preserve">0</w:t>
            </w:r>
          </w:p>
        </w:tc>
        <w:tc>
          <w:tcPr/>
          <w:p>
            <w:pPr>
              <w:pStyle w:val="Compact"/>
              <w:jc w:val="left"/>
            </w:pPr>
            <w:r>
              <w:t xml:space="preserve">0.112</w:t>
            </w:r>
          </w:p>
        </w:tc>
        <w:tc>
          <w:tcPr/>
          <w:p>
            <w:pPr>
              <w:pStyle w:val="Compact"/>
              <w:jc w:val="left"/>
            </w:pPr>
            <w:r>
              <w:t xml:space="preserve">14.95</w:t>
            </w:r>
          </w:p>
        </w:tc>
      </w:tr>
      <w:tr>
        <w:tc>
          <w:tcPr/>
          <w:p>
            <w:pPr>
              <w:pStyle w:val="Compact"/>
              <w:jc w:val="left"/>
            </w:pPr>
            <w:r>
              <w:t xml:space="preserve">5</w:t>
            </w:r>
          </w:p>
        </w:tc>
        <w:tc>
          <w:tcPr/>
          <w:p>
            <w:pPr>
              <w:pStyle w:val="Compact"/>
              <w:jc w:val="left"/>
            </w:pPr>
            <w:r>
              <w:t xml:space="preserve">0.182</w:t>
            </w:r>
          </w:p>
        </w:tc>
        <w:tc>
          <w:tcPr/>
          <w:p>
            <w:pPr>
              <w:pStyle w:val="Compact"/>
              <w:jc w:val="left"/>
            </w:pPr>
            <w:r>
              <w:t xml:space="preserve">14.74</w:t>
            </w:r>
          </w:p>
        </w:tc>
      </w:tr>
      <w:tr>
        <w:tc>
          <w:tcPr/>
          <w:p>
            <w:pPr>
              <w:pStyle w:val="Compact"/>
              <w:jc w:val="left"/>
            </w:pPr>
            <w:r>
              <w:t xml:space="preserve">10</w:t>
            </w:r>
          </w:p>
        </w:tc>
        <w:tc>
          <w:tcPr/>
          <w:p>
            <w:pPr>
              <w:pStyle w:val="Compact"/>
              <w:jc w:val="left"/>
            </w:pPr>
            <w:r>
              <w:t xml:space="preserve">0.288</w:t>
            </w:r>
          </w:p>
        </w:tc>
        <w:tc>
          <w:tcPr/>
          <w:p>
            <w:pPr>
              <w:pStyle w:val="Compact"/>
              <w:jc w:val="left"/>
            </w:pPr>
            <w:r>
              <w:t xml:space="preserve">14.54</w:t>
            </w:r>
          </w:p>
        </w:tc>
      </w:tr>
      <w:tr>
        <w:tc>
          <w:tcPr/>
          <w:p>
            <w:pPr>
              <w:pStyle w:val="Compact"/>
              <w:jc w:val="left"/>
            </w:pPr>
            <w:r>
              <w:t xml:space="preserve">15</w:t>
            </w:r>
          </w:p>
        </w:tc>
        <w:tc>
          <w:tcPr/>
          <w:p>
            <w:pPr>
              <w:pStyle w:val="Compact"/>
              <w:jc w:val="left"/>
            </w:pPr>
            <w:r>
              <w:t xml:space="preserve">0.465</w:t>
            </w:r>
          </w:p>
        </w:tc>
        <w:tc>
          <w:tcPr/>
          <w:p>
            <w:pPr>
              <w:pStyle w:val="Compact"/>
              <w:jc w:val="left"/>
            </w:pPr>
            <w:r>
              <w:t xml:space="preserve">14.33</w:t>
            </w:r>
          </w:p>
        </w:tc>
      </w:tr>
      <w:tr>
        <w:tc>
          <w:tcPr/>
          <w:p>
            <w:pPr>
              <w:pStyle w:val="Compact"/>
              <w:jc w:val="left"/>
            </w:pPr>
            <w:r>
              <w:t xml:space="preserve">20</w:t>
            </w:r>
          </w:p>
        </w:tc>
        <w:tc>
          <w:tcPr/>
          <w:p>
            <w:pPr>
              <w:pStyle w:val="Compact"/>
              <w:jc w:val="left"/>
            </w:pPr>
            <w:r>
              <w:t xml:space="preserve">0.671</w:t>
            </w:r>
          </w:p>
        </w:tc>
        <w:tc>
          <w:tcPr/>
          <w:p>
            <w:pPr>
              <w:pStyle w:val="Compact"/>
              <w:jc w:val="left"/>
            </w:pPr>
            <w:r>
              <w:t xml:space="preserve">14.17</w:t>
            </w:r>
          </w:p>
        </w:tc>
      </w:tr>
      <w:tr>
        <w:tc>
          <w:tcPr/>
          <w:p>
            <w:pPr>
              <w:pStyle w:val="Compact"/>
              <w:jc w:val="left"/>
            </w:pPr>
            <w:r>
              <w:t xml:space="preserve">25</w:t>
            </w:r>
          </w:p>
        </w:tc>
        <w:tc>
          <w:tcPr/>
          <w:p>
            <w:pPr>
              <w:pStyle w:val="Compact"/>
              <w:jc w:val="left"/>
            </w:pPr>
            <w:r>
              <w:t xml:space="preserve">0.991</w:t>
            </w:r>
          </w:p>
        </w:tc>
        <w:tc>
          <w:tcPr/>
          <w:p>
            <w:pPr>
              <w:pStyle w:val="Compact"/>
              <w:jc w:val="left"/>
            </w:pPr>
            <w:r>
              <w:t xml:space="preserve">14.00</w:t>
            </w:r>
          </w:p>
        </w:tc>
      </w:tr>
      <w:tr>
        <w:tc>
          <w:tcPr/>
          <w:p>
            <w:pPr>
              <w:pStyle w:val="Compact"/>
              <w:jc w:val="left"/>
            </w:pPr>
            <w:r>
              <w:t xml:space="preserve">30</w:t>
            </w:r>
          </w:p>
        </w:tc>
        <w:tc>
          <w:tcPr/>
          <w:p>
            <w:pPr>
              <w:pStyle w:val="Compact"/>
              <w:jc w:val="left"/>
            </w:pPr>
            <w:r>
              <w:t xml:space="preserve">1.432</w:t>
            </w:r>
          </w:p>
        </w:tc>
        <w:tc>
          <w:tcPr/>
          <w:p>
            <w:pPr>
              <w:pStyle w:val="Compact"/>
              <w:jc w:val="left"/>
            </w:pPr>
            <w:r>
              <w:t xml:space="preserve">13.84</w:t>
            </w:r>
          </w:p>
        </w:tc>
      </w:tr>
      <w:tr>
        <w:tc>
          <w:tcPr/>
          <w:p>
            <w:pPr>
              <w:pStyle w:val="Compact"/>
              <w:jc w:val="left"/>
            </w:pPr>
            <w:r>
              <w:t xml:space="preserve">35</w:t>
            </w:r>
          </w:p>
        </w:tc>
        <w:tc>
          <w:tcPr/>
          <w:p>
            <w:pPr>
              <w:pStyle w:val="Compact"/>
              <w:jc w:val="left"/>
            </w:pPr>
            <w:r>
              <w:t xml:space="preserve">2.042</w:t>
            </w:r>
          </w:p>
        </w:tc>
        <w:tc>
          <w:tcPr/>
          <w:p>
            <w:pPr>
              <w:pStyle w:val="Compact"/>
              <w:jc w:val="left"/>
            </w:pPr>
            <w:r>
              <w:t xml:space="preserve">13.69</w:t>
            </w:r>
          </w:p>
        </w:tc>
      </w:tr>
      <w:tr>
        <w:tc>
          <w:tcPr/>
          <w:p>
            <w:pPr>
              <w:pStyle w:val="Compact"/>
              <w:jc w:val="left"/>
            </w:pPr>
            <w:r>
              <w:t xml:space="preserve">40</w:t>
            </w:r>
          </w:p>
        </w:tc>
        <w:tc>
          <w:tcPr/>
          <w:p>
            <w:pPr>
              <w:pStyle w:val="Compact"/>
              <w:jc w:val="left"/>
            </w:pPr>
            <w:r>
              <w:t xml:space="preserve">2.851</w:t>
            </w:r>
          </w:p>
        </w:tc>
        <w:tc>
          <w:tcPr/>
          <w:p>
            <w:pPr>
              <w:pStyle w:val="Compact"/>
              <w:jc w:val="left"/>
            </w:pPr>
            <w:r>
              <w:t xml:space="preserve">13.55</w:t>
            </w:r>
          </w:p>
        </w:tc>
      </w:tr>
      <w:tr>
        <w:tc>
          <w:tcPr/>
          <w:p>
            <w:pPr>
              <w:pStyle w:val="Compact"/>
              <w:jc w:val="left"/>
            </w:pPr>
            <w:r>
              <w:t xml:space="preserve">45</w:t>
            </w:r>
          </w:p>
        </w:tc>
        <w:tc>
          <w:tcPr/>
          <w:p>
            <w:pPr>
              <w:pStyle w:val="Compact"/>
              <w:jc w:val="left"/>
            </w:pPr>
            <w:r>
              <w:t xml:space="preserve">3.917</w:t>
            </w:r>
          </w:p>
        </w:tc>
        <w:tc>
          <w:tcPr/>
          <w:p>
            <w:pPr>
              <w:pStyle w:val="Compact"/>
              <w:jc w:val="left"/>
            </w:pPr>
            <w:r>
              <w:t xml:space="preserve">13.41</w:t>
            </w:r>
          </w:p>
        </w:tc>
      </w:tr>
      <w:tr>
        <w:tc>
          <w:tcPr/>
          <w:p>
            <w:pPr>
              <w:pStyle w:val="Compact"/>
              <w:jc w:val="left"/>
            </w:pPr>
            <w:r>
              <w:t xml:space="preserve">50</w:t>
            </w:r>
          </w:p>
        </w:tc>
        <w:tc>
          <w:tcPr/>
          <w:p>
            <w:pPr>
              <w:pStyle w:val="Compact"/>
              <w:jc w:val="left"/>
            </w:pPr>
            <w:r>
              <w:t xml:space="preserve">5.297</w:t>
            </w:r>
          </w:p>
        </w:tc>
        <w:tc>
          <w:tcPr/>
          <w:p>
            <w:pPr>
              <w:pStyle w:val="Compact"/>
              <w:jc w:val="left"/>
            </w:pPr>
            <w:r>
              <w:t xml:space="preserve">13.28</w:t>
            </w:r>
          </w:p>
        </w:tc>
      </w:tr>
      <w:tr>
        <w:tc>
          <w:tcPr/>
          <w:p>
            <w:pPr>
              <w:pStyle w:val="Compact"/>
              <w:jc w:val="left"/>
            </w:pPr>
            <w:r>
              <w:t xml:space="preserve">55</w:t>
            </w:r>
          </w:p>
        </w:tc>
        <w:tc>
          <w:tcPr/>
          <w:p>
            <w:pPr>
              <w:pStyle w:val="Compact"/>
              <w:jc w:val="left"/>
            </w:pPr>
            <w:r>
              <w:t xml:space="preserve">7.080</w:t>
            </w:r>
          </w:p>
        </w:tc>
        <w:tc>
          <w:tcPr/>
          <w:p>
            <w:pPr>
              <w:pStyle w:val="Compact"/>
              <w:jc w:val="left"/>
            </w:pPr>
            <w:r>
              <w:t xml:space="preserve">13.15</w:t>
            </w:r>
          </w:p>
        </w:tc>
      </w:tr>
      <w:tr>
        <w:tc>
          <w:tcPr/>
          <w:p>
            <w:pPr>
              <w:pStyle w:val="Compact"/>
              <w:jc w:val="left"/>
            </w:pPr>
            <w:r>
              <w:t xml:space="preserve">60</w:t>
            </w:r>
          </w:p>
        </w:tc>
        <w:tc>
          <w:tcPr/>
          <w:p>
            <w:pPr>
              <w:pStyle w:val="Compact"/>
              <w:jc w:val="left"/>
            </w:pPr>
            <w:r>
              <w:t xml:space="preserve">9.311</w:t>
            </w:r>
          </w:p>
        </w:tc>
        <w:tc>
          <w:tcPr/>
          <w:p>
            <w:pPr>
              <w:pStyle w:val="Compact"/>
              <w:jc w:val="left"/>
            </w:pPr>
            <w:r>
              <w:t xml:space="preserve">13.03</w:t>
            </w:r>
          </w:p>
        </w:tc>
      </w:tr>
      <w:tr>
        <w:tc>
          <w:tcPr/>
          <w:p>
            <w:pPr>
              <w:pStyle w:val="Compact"/>
              <w:jc w:val="left"/>
            </w:pPr>
            <w:r>
              <w:t xml:space="preserve">75</w:t>
            </w:r>
          </w:p>
        </w:tc>
        <w:tc>
          <w:tcPr/>
          <w:p>
            <w:pPr>
              <w:pStyle w:val="Compact"/>
              <w:jc w:val="left"/>
            </w:pPr>
            <w:r>
              <w:t xml:space="preserve">19.95</w:t>
            </w:r>
          </w:p>
        </w:tc>
        <w:tc>
          <w:tcPr/>
          <w:p>
            <w:pPr>
              <w:pStyle w:val="Compact"/>
              <w:jc w:val="left"/>
            </w:pPr>
            <w:r>
              <w:t xml:space="preserve">12.70</w:t>
            </w:r>
          </w:p>
        </w:tc>
      </w:tr>
      <w:tr>
        <w:tc>
          <w:tcPr/>
          <w:p>
            <w:pPr>
              <w:pStyle w:val="Compact"/>
              <w:jc w:val="left"/>
            </w:pPr>
            <w:r>
              <w:t xml:space="preserve">100</w:t>
            </w:r>
          </w:p>
        </w:tc>
        <w:tc>
          <w:tcPr/>
          <w:p>
            <w:pPr>
              <w:pStyle w:val="Compact"/>
              <w:jc w:val="left"/>
            </w:pPr>
            <w:r>
              <w:t xml:space="preserve">56.23</w:t>
            </w:r>
          </w:p>
        </w:tc>
        <w:tc>
          <w:tcPr/>
          <w:p>
            <w:pPr>
              <w:pStyle w:val="Compact"/>
              <w:jc w:val="left"/>
            </w:pPr>
            <w:r>
              <w:t xml:space="preserve">12.25</w:t>
            </w:r>
          </w:p>
        </w:tc>
      </w:tr>
    </w:tbl>
    <w:bookmarkEnd w:id="30"/>
    <w:p>
      <w:pPr>
        <w:pStyle w:val="TextBody"/>
      </w:pPr>
      <w:r>
        <w:t xml:space="preserve">Table</w:t>
      </w:r>
      <w:r>
        <w:t xml:space="preserve"> </w:t>
      </w:r>
      <w:r>
        <w:t xml:space="preserve"> </w:t>
      </w:r>
      <w:r>
        <w:t xml:space="preserve">E3</w:t>
      </w:r>
      <w:r>
        <w:t xml:space="preserve"> </w:t>
      </w:r>
      <w:r>
        <w:t xml:space="preserve"> </w:t>
      </w:r>
      <w:r>
        <w:t xml:space="preserve"> </w:t>
      </w:r>
      <w:r>
        <w:t xml:space="preserve"> </w:t>
      </w:r>
    </w:p>
    <w:p>
      <w:pPr>
        <w:pStyle w:val="TextBody"/>
      </w:pPr>
      <w:bookmarkStart w:id="34" w:name="fs-idm370140880"/>
      <w:r>
        <w:t xml:space="preserve"> </w:t>
      </w:r>
      <w:r>
        <w:drawing>
          <wp:inline>
            <wp:extent cx="4457700" cy="3369564"/>
            <wp:effectExtent b="0" l="0" r="0" t="0"/>
            <wp:docPr descr="A line graph is titled “Water pK subscript W as a Function of Temperature.” The x-axis is titled “Temperature, degrees Celsius,” and the y-axis is titled “pK subscript W.” A line connects plot points at the coordinates 0 and 14.95, 5 and 14.74, 10 and 14.54, 15 and 14.33, 20 and 14.17, 25 and 14, 30 and 13.84, 35 and 13.69, 40 and 13.55, 45 and 13.41, 50 and 13.28, 55 and 13.15, 60 and 13.03, 75 and 12.7, and 100 and 12.25." title="" id="32" name="Picture"/>
            <a:graphic>
              <a:graphicData uri="http://schemas.openxmlformats.org/drawingml/2006/picture">
                <pic:pic>
                  <pic:nvPicPr>
                    <pic:cNvPr descr="../resources/3383b90614fdf640c7f3f9f150a0a2e77713dbe8" id="33" name="Picture"/>
                    <pic:cNvPicPr>
                      <a:picLocks noChangeArrowheads="1" noChangeAspect="1"/>
                    </pic:cNvPicPr>
                  </pic:nvPicPr>
                  <pic:blipFill>
                    <a:blip r:embed="rId31"/>
                    <a:stretch>
                      <a:fillRect/>
                    </a:stretch>
                  </pic:blipFill>
                  <pic:spPr bwMode="auto">
                    <a:xfrm>
                      <a:off x="0" y="0"/>
                      <a:ext cx="4457700" cy="3369564"/>
                    </a:xfrm>
                    <a:prstGeom prst="rect">
                      <a:avLst/>
                    </a:prstGeom>
                    <a:noFill/>
                    <a:ln w="9525">
                      <a:noFill/>
                      <a:headEnd/>
                      <a:tailEnd/>
                    </a:ln>
                  </pic:spPr>
                </pic:pic>
              </a:graphicData>
            </a:graphic>
          </wp:inline>
        </w:drawing>
      </w:r>
      <w:r>
        <w:t xml:space="preserve"> </w:t>
      </w:r>
      <w:bookmarkEnd w:id="34"/>
    </w:p>
    <w:p>
      <w:pPr>
        <w:pStyle w:val="TextBody"/>
      </w:pPr>
      <w:r>
        <w:t xml:space="preserve">Specific Heat Capacity for Water</w:t>
      </w:r>
    </w:p>
    <w:bookmarkStart w:id="35" w:name="fs-idm170933296"/>
    <w:tbl>
      <w:tblPr>
        <w:tblStyle w:val="Table"/>
        <w:tblW w:type="auto" w:w="0"/>
        <w:tblLook w:firstRow="0" w:lastRow="0" w:firstColumn="0" w:lastColumn="0" w:noHBand="0" w:noVBand="0" w:val="0000"/>
        <w:jc w:val="start"/>
      </w:tblPr>
      <w:tblGrid>
        <w:gridCol w:w="7920"/>
      </w:tblGrid>
      <w:tr>
        <w:tc>
          <w:tcPr/>
          <w:p>
            <w:pPr>
              <w:pStyle w:val="Compact"/>
              <w:jc w:val="left"/>
            </w:pPr>
            <w:r>
              <w:t xml:space="preserve">C°(H</w:t>
            </w:r>
            <w:r>
              <w:rPr>
                <w:vertAlign w:val="subscript"/>
              </w:rPr>
              <w:t xml:space="preserve">2</w:t>
            </w:r>
            <w:r>
              <w:t xml:space="preserve">O(</w:t>
            </w:r>
            <w:r>
              <w:rPr>
                <w:iCs/>
                <w:i/>
              </w:rPr>
              <w:t xml:space="preserve">l</w:t>
            </w:r>
            <w:r>
              <w:t xml:space="preserve">)) = 4.184 J∙g</w:t>
            </w:r>
            <w:r>
              <w:rPr>
                <w:vertAlign w:val="superscript"/>
              </w:rPr>
              <w:t xml:space="preserve">-1</w:t>
            </w:r>
            <w:r>
              <w:t xml:space="preserve">∙°C</w:t>
            </w:r>
            <w:r>
              <w:rPr>
                <w:vertAlign w:val="superscript"/>
              </w:rPr>
              <w:t xml:space="preserve">-1</w:t>
            </w:r>
          </w:p>
        </w:tc>
      </w:tr>
      <w:tr>
        <w:tc>
          <w:tcPr/>
          <w:p>
            <w:pPr>
              <w:pStyle w:val="Compact"/>
              <w:jc w:val="left"/>
            </w:pPr>
            <w:r>
              <w:t xml:space="preserve">C°(H</w:t>
            </w:r>
            <w:r>
              <w:rPr>
                <w:vertAlign w:val="subscript"/>
              </w:rPr>
              <w:t xml:space="preserve">2</w:t>
            </w:r>
            <w:r>
              <w:t xml:space="preserve">O(</w:t>
            </w:r>
            <w:r>
              <w:rPr>
                <w:iCs/>
                <w:i/>
              </w:rPr>
              <w:t xml:space="preserve">s</w:t>
            </w:r>
            <w:r>
              <w:t xml:space="preserve">)) = 2.093 J∙g</w:t>
            </w:r>
            <w:r>
              <w:rPr>
                <w:vertAlign w:val="superscript"/>
              </w:rPr>
              <w:t xml:space="preserve">−1</w:t>
            </w:r>
            <w:r>
              <w:t xml:space="preserve">∙C</w:t>
            </w:r>
            <w:r>
              <w:rPr>
                <w:vertAlign w:val="superscript"/>
              </w:rPr>
              <w:t xml:space="preserve">−1</w:t>
            </w:r>
          </w:p>
        </w:tc>
      </w:tr>
      <w:tr>
        <w:tc>
          <w:tcPr/>
          <w:p>
            <w:pPr>
              <w:pStyle w:val="Compact"/>
              <w:jc w:val="left"/>
            </w:pPr>
            <w:r>
              <w:t xml:space="preserve">C°(H</w:t>
            </w:r>
            <w:r>
              <w:rPr>
                <w:vertAlign w:val="subscript"/>
              </w:rPr>
              <w:t xml:space="preserve">2</w:t>
            </w:r>
            <w:r>
              <w:t xml:space="preserve">O(</w:t>
            </w:r>
            <w:r>
              <w:rPr>
                <w:iCs/>
                <w:i/>
              </w:rPr>
              <w:t xml:space="preserve">g</w:t>
            </w:r>
            <w:r>
              <w:t xml:space="preserve">)) = 1.864 J∙g</w:t>
            </w:r>
            <w:r>
              <w:rPr>
                <w:vertAlign w:val="superscript"/>
              </w:rPr>
              <w:t xml:space="preserve">−1</w:t>
            </w:r>
            <w:r>
              <w:t xml:space="preserve">∙C</w:t>
            </w:r>
            <w:r>
              <w:rPr>
                <w:vertAlign w:val="superscript"/>
              </w:rPr>
              <w:t xml:space="preserve">−1</w:t>
            </w:r>
          </w:p>
        </w:tc>
      </w:tr>
    </w:tbl>
    <w:bookmarkEnd w:id="35"/>
    <w:p>
      <w:pPr>
        <w:pStyle w:val="TextBody"/>
      </w:pPr>
      <w:r>
        <w:t xml:space="preserve">Table</w:t>
      </w:r>
      <w:r>
        <w:t xml:space="preserve"> </w:t>
      </w:r>
      <w:r>
        <w:t xml:space="preserve"> </w:t>
      </w:r>
      <w:r>
        <w:t xml:space="preserve">E4</w:t>
      </w:r>
      <w:r>
        <w:t xml:space="preserve"> </w:t>
      </w:r>
      <w:r>
        <w:t xml:space="preserve"> </w:t>
      </w:r>
      <w:r>
        <w:t xml:space="preserve"> </w:t>
      </w:r>
      <w:r>
        <w:t xml:space="preserve"> </w:t>
      </w:r>
    </w:p>
    <w:p>
      <w:pPr>
        <w:pStyle w:val="TextBody"/>
      </w:pPr>
      <w:r>
        <w:t xml:space="preserve">Standard Water Melting and Boiling Temperatures and Enthalpies of the Transitions</w:t>
      </w:r>
    </w:p>
    <w:bookmarkStart w:id="36" w:name="fs-idm404907328"/>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Temperature (K)</w:t>
            </w:r>
          </w:p>
        </w:tc>
        <w:tc>
          <w:tcPr/>
          <w:p>
            <w:pPr>
              <w:pStyle w:val="Compact"/>
              <w:jc w:val="left"/>
            </w:pPr>
            <w:r>
              <w:t xml:space="preserve">Δ</w:t>
            </w:r>
            <w:r>
              <w:rPr>
                <w:iCs/>
                <w:i/>
              </w:rPr>
              <w:t xml:space="preserve">H</w:t>
            </w:r>
            <w:r>
              <w:t xml:space="preserve"> </w:t>
            </w:r>
            <w:r>
              <w:t xml:space="preserve">(kJ/mol)</w:t>
            </w:r>
          </w:p>
        </w:tc>
      </w:tr>
      <w:tr>
        <w:tc>
          <w:tcPr/>
          <w:p>
            <w:pPr>
              <w:pStyle w:val="Compact"/>
              <w:jc w:val="left"/>
            </w:pPr>
            <w:r>
              <w:t xml:space="preserve">melting</w:t>
            </w:r>
          </w:p>
        </w:tc>
        <w:tc>
          <w:tcPr/>
          <w:p>
            <w:pPr>
              <w:pStyle w:val="Compact"/>
              <w:jc w:val="left"/>
            </w:pPr>
            <w:r>
              <w:t xml:space="preserve">273.15</w:t>
            </w:r>
          </w:p>
        </w:tc>
        <w:tc>
          <w:tcPr/>
          <w:p>
            <w:pPr>
              <w:pStyle w:val="Compact"/>
              <w:jc w:val="left"/>
            </w:pPr>
            <w:r>
              <w:t xml:space="preserve">6.088</w:t>
            </w:r>
          </w:p>
        </w:tc>
      </w:tr>
      <w:tr>
        <w:tc>
          <w:tcPr/>
          <w:p>
            <w:pPr>
              <w:pStyle w:val="Compact"/>
              <w:jc w:val="left"/>
            </w:pPr>
            <w:r>
              <w:t xml:space="preserve">boiling</w:t>
            </w:r>
          </w:p>
        </w:tc>
        <w:tc>
          <w:tcPr/>
          <w:p>
            <w:pPr>
              <w:pStyle w:val="Compact"/>
              <w:jc w:val="left"/>
            </w:pPr>
            <w:r>
              <w:t xml:space="preserve">373.15</w:t>
            </w:r>
          </w:p>
        </w:tc>
        <w:tc>
          <w:tcPr/>
          <w:p>
            <w:pPr>
              <w:pStyle w:val="Compact"/>
              <w:jc w:val="left"/>
            </w:pPr>
            <w:r>
              <w:t xml:space="preserve">40.656 (44.016 at 298 K)</w:t>
            </w:r>
          </w:p>
        </w:tc>
      </w:tr>
    </w:tbl>
    <w:bookmarkEnd w:id="36"/>
    <w:p>
      <w:pPr>
        <w:pStyle w:val="TextBody"/>
      </w:pPr>
      <w:r>
        <w:t xml:space="preserve">Table</w:t>
      </w:r>
      <w:r>
        <w:t xml:space="preserve"> </w:t>
      </w:r>
      <w:r>
        <w:t xml:space="preserve"> </w:t>
      </w:r>
      <w:r>
        <w:t xml:space="preserve">E5</w:t>
      </w:r>
      <w:r>
        <w:t xml:space="preserve"> </w:t>
      </w:r>
      <w:r>
        <w:t xml:space="preserve"> </w:t>
      </w:r>
      <w:r>
        <w:t xml:space="preserve"> </w:t>
      </w:r>
      <w:r>
        <w:t xml:space="preserve"> </w:t>
      </w:r>
    </w:p>
    <w:p>
      <w:pPr>
        <w:pStyle w:val="TextBody"/>
      </w:pPr>
      <w:r>
        <w:t xml:space="preserve">Water Cryoscopic (Freezing Point Depression) and Ebullioscopic (Boiling Point Elevation) Constants</w:t>
      </w:r>
    </w:p>
    <w:bookmarkStart w:id="37" w:name="fs-idm315598976"/>
    <w:tbl>
      <w:tblPr>
        <w:tblStyle w:val="Table"/>
        <w:tblW w:type="auto" w:w="0"/>
        <w:tblLook w:firstRow="0" w:lastRow="0" w:firstColumn="0" w:lastColumn="0" w:noHBand="0" w:noVBand="0" w:val="0000"/>
        <w:jc w:val="start"/>
      </w:tblPr>
      <w:tblGrid>
        <w:gridCol w:w="7920"/>
      </w:tblGrid>
      <w:tr>
        <w:tc>
          <w:tcPr/>
          <w:p>
            <w:pPr>
              <w:pStyle w:val="Compact"/>
              <w:jc w:val="left"/>
            </w:pPr>
            <w:r>
              <w:t xml:space="preserve">K</w:t>
            </w:r>
            <w:r>
              <w:rPr>
                <w:vertAlign w:val="subscript"/>
              </w:rPr>
              <w:t xml:space="preserve">f</w:t>
            </w:r>
            <w:r>
              <w:t xml:space="preserve"> </w:t>
            </w:r>
            <w:r>
              <w:t xml:space="preserve">= 1.86°C∙kg∙mol</w:t>
            </w:r>
            <w:r>
              <w:rPr>
                <w:vertAlign w:val="superscript"/>
              </w:rPr>
              <w:t xml:space="preserve">−1</w:t>
            </w:r>
            <w:r>
              <w:t xml:space="preserve"> </w:t>
            </w:r>
            <w:r>
              <w:t xml:space="preserve">(cryoscopic constant)</w:t>
            </w:r>
          </w:p>
        </w:tc>
      </w:tr>
      <w:tr>
        <w:tc>
          <w:tcPr/>
          <w:p>
            <w:pPr>
              <w:pStyle w:val="Compact"/>
              <w:jc w:val="left"/>
            </w:pPr>
            <w:r>
              <w:t xml:space="preserve">K</w:t>
            </w:r>
            <w:r>
              <w:rPr>
                <w:vertAlign w:val="subscript"/>
              </w:rPr>
              <w:t xml:space="preserve">b</w:t>
            </w:r>
            <w:r>
              <w:t xml:space="preserve"> </w:t>
            </w:r>
            <w:r>
              <w:t xml:space="preserve">= 0.51°C∙kg∙mol</w:t>
            </w:r>
            <w:r>
              <w:rPr>
                <w:vertAlign w:val="superscript"/>
              </w:rPr>
              <w:t xml:space="preserve">−1</w:t>
            </w:r>
            <w:r>
              <w:t xml:space="preserve"> </w:t>
            </w:r>
            <w:r>
              <w:t xml:space="preserve">(ebullioscopic constant)</w:t>
            </w:r>
          </w:p>
        </w:tc>
      </w:tr>
    </w:tbl>
    <w:bookmarkEnd w:id="37"/>
    <w:p>
      <w:pPr>
        <w:pStyle w:val="TextBody"/>
      </w:pPr>
      <w:r>
        <w:t xml:space="preserve">Table</w:t>
      </w:r>
      <w:r>
        <w:t xml:space="preserve"> </w:t>
      </w:r>
      <w:r>
        <w:t xml:space="preserve"> </w:t>
      </w:r>
      <w:r>
        <w:t xml:space="preserve">E6</w:t>
      </w:r>
      <w:r>
        <w:t xml:space="preserve"> </w:t>
      </w:r>
      <w:r>
        <w:t xml:space="preserve"> </w:t>
      </w:r>
      <w:r>
        <w:t xml:space="preserve"> </w:t>
      </w:r>
      <w:r>
        <w:t xml:space="preserve"> </w:t>
      </w:r>
    </w:p>
    <w:tbl>
      <w:tblPr>
        <w:tblStyle w:val="FigureTable"/>
        <w:tblW w:type="auto" w:w="0"/>
        <w:tblLook w:firstRow="0" w:lastRow="0" w:firstColumn="0" w:lastColumn="0"/>
        <w:jc w:val="center"/>
      </w:tblPr>
      <w:tblGrid>
        <w:gridCol w:w="7920"/>
      </w:tblGrid>
      <w:tr>
        <w:tc>
          <w:tcPr/>
          <w:p>
            <w:pPr>
              <w:pStyle w:val="Compact"/>
              <w:jc w:val="center"/>
            </w:pPr>
            <w:bookmarkStart w:id="41" w:name="fs-idm364999968"/>
            <w:r>
              <w:t xml:space="preserve"> </w:t>
            </w:r>
            <w:r>
              <w:drawing>
                <wp:inline>
                  <wp:extent cx="5943600" cy="3954779"/>
                  <wp:effectExtent b="0" l="0" r="0" t="0"/>
                  <wp:docPr descr="A line graph is titled “Water Full-Range Spectral Absorption Curve.” The x-axis is titled “Wavelength” and the y-axis is titled “Absorption ( 1 per meter ).” Evenly spaced tick marks on the x-axis denote 10 nanometers, 100 nanometers, 1 micrometer, 10 micrometers, 100 micrometers, 1 millimeter, and 10 millimeters. Evenly spaced tick marks on the y-axis denote 10 superscript negative two, 10 superscript negative one, 10 superscript zero, 10 superscript one, 10 superscript two, 10 superscript three, 10 superscript four, 10 superscript five, 10 superscript six, 10 superscript seven, and 10 superscript eight. Above the graph, horizontal lines indicate the range of wavelengths for U V, V I S, near I R , mid I R , far I R , and E H F. The graph contains one line that begins at 10 nanometers and a little more than 10 superscript six. Moving from left to right, this line ascends gradually until it reaches a point near 100 nanometers and 10 superscript eight. From this point, the line steeply descends to a point a little more than halfway between 100 nanometers and 1 micrometer, and slightly more than 10 superscript two. This point indicates the end of the range labeled “U V” and the beginning of the range labeled “V I S.” The range labeled “V I S” is shaded with a color spectrum including the full range of Roy G Biv colors. Here, the line briefly descends in the same path as before, and then steeply ascends to a point near 1 micrometer and 10 superscript zero. This point indicates the end of the range labeled “V I S” and the beginning of the range labeled “near I R.” The line continues its steep ascent, with short, abrupt descents in between, until it reaches a point a little more than halfway between 1 micrometer and 10 micrometers, and a little more than 10 superscript six. This point indicates the end of the range labeled “near I R” and the beginning of the range labeled “mid I R.” Here, the line moves steeply and sporadically up and down until it reaches a point a little more than halfway between 10 micrometers and 100 micrometers, and slightly more than 10 superscript five. This point indicates the end of the range labeled “Mid I R” and the beginning of the range labeled “Far I R.” The line descends very gradually to a point slightly more than 1 millimeter and slightly more than 10 superscript four. This point indicates the end of the range labeled “Far I R” and the beginning of the range labeled “E H F.” The line continues its gradual descent to 10 millimeters and slightly more than 10 superscript three. This point indicates the end of the range labeled “E H F.”" title="" id="39" name="Picture"/>
                  <a:graphic>
                    <a:graphicData uri="http://schemas.openxmlformats.org/drawingml/2006/picture">
                      <pic:pic>
                        <pic:nvPicPr>
                          <pic:cNvPr descr="../resources/9e80b5758ba32e5594f5d8fbc711714b9ea1adf7" id="40" name="Picture"/>
                          <pic:cNvPicPr>
                            <a:picLocks noChangeArrowheads="1" noChangeAspect="1"/>
                          </pic:cNvPicPr>
                        </pic:nvPicPr>
                        <pic:blipFill>
                          <a:blip r:embed="rId38"/>
                          <a:stretch>
                            <a:fillRect/>
                          </a:stretch>
                        </pic:blipFill>
                        <pic:spPr bwMode="auto">
                          <a:xfrm>
                            <a:off x="0" y="0"/>
                            <a:ext cx="5943600" cy="3954779"/>
                          </a:xfrm>
                          <a:prstGeom prst="rect">
                            <a:avLst/>
                          </a:prstGeom>
                          <a:noFill/>
                          <a:ln w="9525">
                            <a:noFill/>
                            <a:headEnd/>
                            <a:tailEnd/>
                          </a:ln>
                        </pic:spPr>
                      </pic:pic>
                    </a:graphicData>
                  </a:graphic>
                </wp:inline>
              </w:drawing>
            </w:r>
            <w:r>
              <w:t xml:space="preserve"> </w:t>
            </w:r>
            <w:bookmarkEnd w:id="41"/>
          </w:p>
        </w:tc>
      </w:tr>
    </w:tbl>
    <w:p>
      <w:pPr>
        <w:pStyle w:val="TextBody"/>
      </w:pPr>
      <w:r>
        <w:t xml:space="preserve">Figure</w:t>
      </w:r>
      <w:r>
        <w:t xml:space="preserve"> </w:t>
      </w:r>
      <w:r>
        <w:t xml:space="preserve"> </w:t>
      </w:r>
      <w:r>
        <w:t xml:space="preserve">E1</w:t>
      </w:r>
      <w:r>
        <w:t xml:space="preserve"> </w:t>
      </w:r>
      <w:r>
        <w:t xml:space="preserve"> </w:t>
      </w:r>
      <w:r>
        <w:t xml:space="preserve"> </w:t>
      </w:r>
      <w:r>
        <w:t xml:space="preserve">The plot shows the extent of light absorption versus wavelength for water. Absorption is reported in reciprocal meters and corresponds to the inverse of the distance light may travel through water before its intensity is diminished by 1/</w:t>
      </w:r>
      <w:r>
        <w:rPr>
          <w:iCs/>
          <w:i/>
        </w:rPr>
        <w:t xml:space="preserve">e</w:t>
      </w:r>
      <w:r>
        <w:t xml:space="preserve"> </w:t>
      </w:r>
      <w:r>
        <w:t xml:space="preserve">(~37%).</w:t>
      </w:r>
    </w:p>
    <w:bookmarkEnd w:id="42"/>
    <w:bookmarkEnd w:id="4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1" Target="media/rId31.so" /><Relationship Type="http://schemas.openxmlformats.org/officeDocument/2006/relationships/image" Id="rId21" Target="media/rId21.so" /><Relationship Type="http://schemas.openxmlformats.org/officeDocument/2006/relationships/image" Id="rId38" Target="media/rId38.so" /><Relationship Type="http://schemas.openxmlformats.org/officeDocument/2006/relationships/image" Id="rId26" Target="media/rId26.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2025-01-24T22:27:22Z</dcterms:created>
  <dcterms:modified xsi:type="dcterms:W3CDTF">2025-01-24T22:27:22Z</dcterms:modified>
</cp:coreProperties>
</file>

<file path=docProps/custom.xml><?xml version="1.0" encoding="utf-8"?>
<Properties xmlns="http://schemas.openxmlformats.org/officeDocument/2006/custom-properties" xmlns:vt="http://schemas.openxmlformats.org/officeDocument/2006/docPropsVTypes"/>
</file>