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4.so" ContentType="application/octet-stream"/>
  <Override PartName="/word/media/rId33.so" ContentType="application/octet-stream"/>
  <Override PartName="/word/media/rId23.so" ContentType="application/octet-stream"/>
  <Override PartName="/word/media/rId39.so" ContentType="application/octet-stream"/>
  <Override PartName="/word/media/rId2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a3f5c6349bf555e1b946c375fdd8a9e86fde10a"/>
    <w:bookmarkStart w:id="48" w:name="X7b28622b534cdd69fdba4f4101b9aa76bacf2dc"/>
    <w:p>
      <w:pPr>
        <w:pStyle w:val="Heading2"/>
      </w:pPr>
      <w:r>
        <w:t xml:space="preserve">1.3   Eðlis- og efnafræðilegir eiginleikar</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Tilgreint hvort eiginleikar efnis og breytingar á því eru eðlisfræðilegir eða efnafræðilegir</w:t>
      </w:r>
    </w:p>
    <w:p>
      <w:pPr>
        <w:numPr>
          <w:ilvl w:val="0"/>
          <w:numId w:val="1001"/>
        </w:numPr>
        <w:pStyle w:val="Compact"/>
      </w:pPr>
      <w:r>
        <w:t xml:space="preserve">Tilgreint hvort eiginleikar efnis eru magnbundnir eða eðlisbundnir</w:t>
      </w:r>
    </w:p>
    <w:bookmarkEnd w:id="20"/>
    <w:p>
      <w:pPr>
        <w:pStyle w:val="FirstParagraph"/>
      </w:pPr>
      <w:r>
        <w:t xml:space="preserve">Þau einkenni sem greina eitt efni frá öðru eru kallaðir eiginleikar (e. properties). </w:t>
      </w:r>
      <w:bookmarkStart w:id="21" w:name="term-00001"/>
      <w:r>
        <w:t>Eðliseiginleiki</w:t>
      </w:r>
      <w:bookmarkEnd w:id="21"/>
      <w:r>
        <w:t xml:space="preserve"> (e. physical property) er einkenni efnis sem tengist ekki breytingu á efnasamsetningu þess. Þekkt dæmi um eðliseiginleika eru eðlismassi, litur, harka, bræðslu- og suðumark og rafleiðni. Suma eðliseiginleika, svo sem eðlismassa og lit, er hægt að skoða án þess að breyta eðlisástandi efnisins. Aðra eðliseiginleika, svo sem bræðslumark járns eða frostmark vatns, er aðeins hægt að skoða þegar efni tekur eðlisfræðilegum breytingum. </w:t>
      </w:r>
      <w:bookmarkStart w:id="22" w:name="term-00002"/>
      <w:r>
        <w:t>Eðlisbreyting</w:t>
      </w:r>
      <w:bookmarkEnd w:id="22"/>
      <w:r>
        <w:t xml:space="preserve"> er breyting á ástandi eða eiginleikum efnis án þess að efnafræðileg einkenni þess breytist. Eðlisbreytingar eiga sér stað til dæmis þegar vax bráðnar, sykur leysist upp í kaffi og þegar gufa þéttist í fljótandi vatn (</w:t>
      </w:r>
      <w:hyperlink w:anchor="CNX_Chem_01_03_PhysChange">
        <w:r>
          <w:rPr>
            <w:rStyle w:val="InternetLink"/>
          </w:rPr>
          <w:t xml:space="preserve">mynd 1.18</w:t>
        </w:r>
      </w:hyperlink>
      <w:r>
        <w:t xml:space="preserve">). Önnur dæmi um eðlisbreytingar eru segulmögnun og afsegulmögnun málma (eins og gert er með algengum þjófavarnarmerkjum) og að mala föst efni í duft (sem getur stundum leitt til áberandi litabreytinga). Í öllum þessum dæmum verður breyting á eðlisástandi, formi eða eiginleikum efnisins en engin breyting verður á efnasamsetningu þess.</w:t>
      </w:r>
    </w:p>
    <w:tbl>
      <w:tblPr>
        <w:tblStyle w:val="FigureTable"/>
        <w:tblW w:type="auto" w:w="0"/>
        <w:tblLook w:firstRow="0" w:lastRow="0" w:firstColumn="0" w:lastColumn="0"/>
        <w:jc w:val="center"/>
      </w:tblPr>
      <w:tblGrid>
        <w:gridCol w:w="7920"/>
      </w:tblGrid>
      <w:tr>
        <w:tc>
          <w:tcPr/>
          <w:p>
            <w:pPr>
              <w:pStyle w:val="Compact"/>
              <w:jc w:val="center"/>
            </w:pPr>
            <w:bookmarkStart w:id="26" w:name="fs-idp82580544"/>
            <w:r>
              <w:t xml:space="preserve"> </w:t>
              <w:drawing>
                <wp:inline>
                  <wp:extent cx="4457700" cy="1856232"/>
                  <wp:effectExtent b="0" l="0" r="0" t="0"/>
                  <wp:docPr descr="Figure A is a photograph of butter melting in a pot on a stove. Figure B is a photograph of something being heated on a stove in a pot. Water droplets are forming on the underside of a glass cover that has been placed over the pot." title="" id="24" name="Picture"/>
                  <a:graphic>
                    <a:graphicData uri="http://schemas.openxmlformats.org/drawingml/2006/picture">
                      <pic:pic>
                        <pic:nvPicPr>
                          <pic:cNvPr descr="../resources/5ac75f500fb80018b5e793054c3fc4c594cd0d52" id="25" name="Picture"/>
                          <pic:cNvPicPr>
                            <a:picLocks noChangeArrowheads="1" noChangeAspect="1"/>
                          </pic:cNvPicPr>
                        </pic:nvPicPr>
                        <pic:blipFill>
                          <a:blip r:embed="rId23"/>
                          <a:stretch>
                            <a:fillRect/>
                          </a:stretch>
                        </pic:blipFill>
                        <pic:spPr bwMode="auto">
                          <a:xfrm>
                            <a:off x="0" y="0"/>
                            <a:ext cx="4457700" cy="1856232"/>
                          </a:xfrm>
                          <a:prstGeom prst="rect">
                            <a:avLst/>
                          </a:prstGeom>
                          <a:noFill/>
                          <a:ln w="9525">
                            <a:noFill/>
                            <a:headEnd/>
                            <a:tailEnd/>
                          </a:ln>
                        </pic:spPr>
                      </pic:pic>
                    </a:graphicData>
                  </a:graphic>
                </wp:inline>
              </w:drawing>
              <w:t xml:space="preserve"> </w:t>
            </w:r>
            <w:bookmarkEnd w:id="26"/>
          </w:p>
        </w:tc>
      </w:tr>
    </w:tbl>
    <w:p>
      <w:pPr>
        <w:pStyle w:val="TextBody"/>
      </w:pPr>
      <w:r>
        <w:t xml:space="preserve">Mynd 1.18 (a) Vax gengst undir eðlisbreytingu þegar fast vax er hitað og myndar fljótandi vax. (b) Gufa sem þéttist inni í potti er eðlisbreyting, þar sem vatnsgufa breytist í fljótandi vatn. (heimild a: breyting á verki eftir „95jb14“/Wikimedia Commons; heimild b: breyting á verki eftir „mjneuby“/Flickr)</w:t>
      </w:r>
    </w:p>
    <w:p>
      <w:pPr>
        <w:pStyle w:val="TextBody"/>
      </w:pPr>
      <w:r>
        <w:t xml:space="preserve">Getan til að breytast úr einni tegund efnis í aðra (eða vangetan til að breytast) er </w:t>
      </w:r>
      <w:bookmarkStart w:id="27" w:name="term-00003"/>
      <w:r>
        <w:t xml:space="preserve">efnafræðilegur eiginleiki</w:t>
      </w:r>
      <w:bookmarkEnd w:id="27"/>
      <w:r>
        <w:t xml:space="preserve">. Dæmi um efnafræðilega eiginleika eru eldfimi, eiturhrif, sýrustig og margar aðrar tegundir hvarfgirni. Járn tengist til dæmis súrefni í návist vatns og myndar ryð; króm oxast ekki (</w:t>
      </w:r>
      <w:hyperlink w:anchor="CNX_Chem_01_03_Rust">
        <w:r>
          <w:rPr>
            <w:rStyle w:val="InternetLink"/>
          </w:rPr>
          <w:t xml:space="preserve">mynd 1.19</w:t>
        </w:r>
      </w:hyperlink>
      <w:r>
        <w:t xml:space="preserve">). Nítróglýserín er mjög hættulegt vegna þess að það springur auðveldlega; neon veldur nánast engri hættu vegna þess að það er ekki hvarfgjarnt.</w:t>
      </w:r>
    </w:p>
    <w:tbl>
      <w:tblPr>
        <w:tblStyle w:val="FigureTable"/>
        <w:tblW w:type="auto" w:w="0"/>
        <w:tblLook w:firstRow="0" w:lastRow="0" w:firstColumn="0" w:lastColumn="0"/>
        <w:jc w:val="center"/>
      </w:tblPr>
      <w:tblGrid>
        <w:gridCol w:w="7920"/>
      </w:tblGrid>
      <w:tr>
        <w:tc>
          <w:tcPr/>
          <w:p>
            <w:pPr>
              <w:pStyle w:val="Compact"/>
              <w:jc w:val="center"/>
            </w:pPr>
            <w:bookmarkStart w:id="31" w:name="fs-idp91834496"/>
            <w:r>
              <w:t xml:space="preserve"> </w:t>
              <w:drawing>
                <wp:inline>
                  <wp:extent cx="4457700" cy="1897380"/>
                  <wp:effectExtent b="0" l="0" r="0" t="0"/>
                  <wp:docPr descr="Figure A is a photo of metal machinery that is now mostly covered with reddish orange rust. Figure B shows the silver colored chrome parts of a motorcycle. One of the parts is so shiny that you can see a reflection of the surrounding street and buildings." title="" id="29" name="Picture"/>
                  <a:graphic>
                    <a:graphicData uri="http://schemas.openxmlformats.org/drawingml/2006/picture">
                      <pic:pic>
                        <pic:nvPicPr>
                          <pic:cNvPr descr="../resources/c14f1148457cae609b22e75ed0456cf9ae95fc1e" id="30" name="Picture"/>
                          <pic:cNvPicPr>
                            <a:picLocks noChangeArrowheads="1" noChangeAspect="1"/>
                          </pic:cNvPicPr>
                        </pic:nvPicPr>
                        <pic:blipFill>
                          <a:blip r:embed="rId28"/>
                          <a:stretch>
                            <a:fillRect/>
                          </a:stretch>
                        </pic:blipFill>
                        <pic:spPr bwMode="auto">
                          <a:xfrm>
                            <a:off x="0" y="0"/>
                            <a:ext cx="4457700" cy="1897380"/>
                          </a:xfrm>
                          <a:prstGeom prst="rect">
                            <a:avLst/>
                          </a:prstGeom>
                          <a:noFill/>
                          <a:ln w="9525">
                            <a:noFill/>
                            <a:headEnd/>
                            <a:tailEnd/>
                          </a:ln>
                        </pic:spPr>
                      </pic:pic>
                    </a:graphicData>
                  </a:graphic>
                </wp:inline>
              </w:drawing>
              <w:t xml:space="preserve"> </w:t>
            </w:r>
            <w:bookmarkEnd w:id="31"/>
          </w:p>
        </w:tc>
      </w:tr>
    </w:tbl>
    <w:p>
      <w:pPr>
        <w:pStyle w:val="TextBody"/>
      </w:pPr>
      <w:r>
        <w:t xml:space="preserve">Mynd  1.19   (a) Einn af efnafræðilegum eiginleikum járns er að það ryðgar; (b) einn af efnafræðilegum eiginleikum króms er að það gerir það ekki. (heimild a: breyting á verki eftir Tony Hisgett; heimild b: breyting á verki eftir „Atoma“/Wikimedia Commons)</w:t>
      </w:r>
    </w:p>
    <w:p>
      <w:pPr>
        <w:pStyle w:val="TextBody"/>
      </w:pPr>
      <w:bookmarkStart w:id="32" w:name="term-00004"/>
      <w:r>
        <w:t>Efnabreyting</w:t>
      </w:r>
      <w:bookmarkEnd w:id="32"/>
      <w:r>
        <w:t xml:space="preserve"> framleiðir alltaf eina eða fleiri tegundir efnis sem eru frábrugðnar efninu sem var til staðar fyrir breytinguna. Myndun ryðs er efnabreyting vegna þess að ryð er annars konar efni en járnið, súrefnið og vatnið sem voru til staðar áður en ryðið myndaðist. Sprenging nítróglýseríns er efnabreyting vegna þess að lofttegundirnar sem myndast eru mjög ólíkar upprunalega efninu. Önnur dæmi um efnabreytingar eru efnahvörf sem framkvæmd eru á rannsóknarstofu (eins og þegar kopar hvarfast við saltpéturssýru), allar tegundir bruna og þegar matur er eldaður, meltur eða rotnar (</w:t>
      </w:r>
      <w:hyperlink w:anchor="CNX_Chem_01_03_ChemChange">
        <w:r>
          <w:rPr>
            <w:rStyle w:val="InternetLink"/>
          </w:rPr>
          <w:t xml:space="preserve">mynd 1.20</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36" w:name="fs-idp96887536"/>
            <w:r>
              <w:t xml:space="preserve"> </w:t>
              <w:drawing>
                <wp:inline>
                  <wp:extent cx="4457700" cy="3918204"/>
                  <wp:effectExtent b="0" l="0" r="0" t="0"/>
                  <wp:docPr descr="Figure A is a photo of the flask containing a blue liquid. Several strands of brownish copper are immersed into the blue liquid. There is a brownish gas rising from the liquid and filling the upper part of the flask. Figure B shows a burning match. Figure C shows red meat being cooked in a pan. Figure D shows a small bunch of yellow bananas that have many black spots." title="" id="34" name="Picture"/>
                  <a:graphic>
                    <a:graphicData uri="http://schemas.openxmlformats.org/drawingml/2006/picture">
                      <pic:pic>
                        <pic:nvPicPr>
                          <pic:cNvPr descr="../resources/565a68aa921ea28563c1362f15833a0b5b03784d" id="35" name="Picture"/>
                          <pic:cNvPicPr>
                            <a:picLocks noChangeArrowheads="1" noChangeAspect="1"/>
                          </pic:cNvPicPr>
                        </pic:nvPicPr>
                        <pic:blipFill>
                          <a:blip r:embed="rId33"/>
                          <a:stretch>
                            <a:fillRect/>
                          </a:stretch>
                        </pic:blipFill>
                        <pic:spPr bwMode="auto">
                          <a:xfrm>
                            <a:off x="0" y="0"/>
                            <a:ext cx="4457700" cy="3918204"/>
                          </a:xfrm>
                          <a:prstGeom prst="rect">
                            <a:avLst/>
                          </a:prstGeom>
                          <a:noFill/>
                          <a:ln w="9525">
                            <a:noFill/>
                            <a:headEnd/>
                            <a:tailEnd/>
                          </a:ln>
                        </pic:spPr>
                      </pic:pic>
                    </a:graphicData>
                  </a:graphic>
                </wp:inline>
              </w:drawing>
              <w:t xml:space="preserve"> </w:t>
            </w:r>
            <w:bookmarkEnd w:id="36"/>
          </w:p>
        </w:tc>
      </w:tr>
    </w:tbl>
    <w:p>
      <w:pPr>
        <w:pStyle w:val="TextBody"/>
      </w:pPr>
      <w:r>
        <w:t xml:space="preserve">Mynd 1.20 (a) Kopar og saltpéturssýra gangast undir efnabreytingu og mynda koparnítrat og brúna lofttegundina niturdíoxíð. (b) Við bruna eldspýtu gangast sellulósi í spýtunni og súrefni úr loftinu undir efnabreytingu og mynda koldíoxíð og vatnsgufu. (c) Eldun á rauðu kjöti veldur ýmsum efnabreytingum, þar á meðal oxun járns í mýóglóbíni sem leiðir til hinnar kunnuglegu litabreytingar úr rauðu í brúnt. (d) Banani sem verður brúnn er efnabreyting þar sem ný, dekkri (og bragðminni) efni myndast. (heimild b: breyting á verki eftir Jeff Turner; heimild c: breyting á verki eftir Gloria Cabada-Leman; heimild d: breyting á verki eftir Roberto Verzo)</w:t>
      </w:r>
    </w:p>
    <w:p>
      <w:pPr>
        <w:pStyle w:val="TextBody"/>
      </w:pPr>
      <w:r>
        <w:t xml:space="preserve">Eiginleikar efnis falla í annan af tveimur flokkum. Ef eiginleikinn fer eftir magni efnisins sem er til staðar er hann </w:t>
      </w:r>
      <w:bookmarkStart w:id="37" w:name="term-00005"/>
      <w:r>
        <w:t xml:space="preserve">magnbundinn eiginleiki</w:t>
      </w:r>
      <w:bookmarkEnd w:id="37"/>
      <w:r>
        <w:t xml:space="preserve">. Massi og rúmmál efnis eru dæmi um magnbundna eiginleika; til dæmis hefur lítri af mjólk meiri massa en bolli af mjólk. Gildi magnbundins eiginleika er í beinu hlutfalli við magn efnisins sem um ræðir. Ef eiginleiki efnissýnis fer ekki eftir magni efnisins sem er til staðar er hann </w:t>
      </w:r>
      <w:bookmarkStart w:id="38" w:name="term-00006"/>
      <w:r>
        <w:t xml:space="preserve">eðlisbundinn eiginleiki</w:t>
      </w:r>
      <w:bookmarkEnd w:id="38"/>
      <w:r>
        <w:t xml:space="preserve">. Hitastig er dæmi um eðlisbundinn eiginleika. Ef lítrinn og bollinn af mjólk eru hvor um sig við 20 °C (stofuhita), þegar þeim er blandað saman, helst hitastigið 20 °C. Sem annað dæmi má nefna hina aðskildu en skyldu eiginleika varma og hitastigs. Dropi af heitri matarolíu sem skvettist á handlegginn veldur stuttum, minniháttar óþægindum, en pottur af heitri olíu veldur alvarlegum bruna. Bæði dropinn og potturinn af olíu eru við sama hitastig (eðlisbundinn eiginleiki), en potturinn inniheldur augljóslega mun meiri varma (magnbundinn eiginleiki).</w:t>
      </w:r>
    </w:p>
    <w:bookmarkStart w:id="43" w:name="fs-idm51398400"/>
    <w:p>
      <w:pPr>
        <w:pStyle w:val="Heading3Grey"/>
      </w:pPr>
      <w:r>
        <w:t xml:space="preserve">Efnafræði í daglegu lífi</w:t>
      </w:r>
    </w:p>
    <w:p>
      <w:pPr>
        <w:pStyle w:val="Heading4Grey"/>
      </w:pPr>
      <w:r>
        <w:t>Hættudemantur</w:t>
      </w:r>
    </w:p>
    <w:p>
      <w:pPr>
        <w:pStyle w:val="NoteExampleGrey"/>
      </w:pPr>
      <w:r>
        <w:t xml:space="preserve">Þú gætir hafa séð táknið sem sýnt er á </w:t>
      </w:r>
      <w:hyperlink w:anchor="CNX_Chem_01_03_HazDiamond">
        <w:r>
          <w:rPr>
            <w:rStyle w:val="InternetLink"/>
          </w:rPr>
          <w:t xml:space="preserve">mynd 1.21</w:t>
        </w:r>
      </w:hyperlink>
      <w:r>
        <w:t xml:space="preserve"> á ílátum með efnum á rannsóknarstofu eða vinnustað. Þessi efnafræðilegi hættudemantur, stundum kallaður „elddemantur“ eða „hættudemantur“, veitir mikilvægar upplýsingar sem draga stuttlega saman hinar ýmsu hættur sem ber að varast þegar unnið er með tiltekið efni.</w:t>
      </w:r>
    </w:p>
    <w:tbl>
      <w:tblPr>
        <w:tblStyle w:val="FigureTable"/>
        <w:tblW w:type="auto" w:w="0"/>
        <w:tblLook w:firstRow="0" w:lastRow="0" w:firstColumn="0" w:lastColumn="0"/>
        <w:jc w:val="center"/>
      </w:tblPr>
      <w:tblGrid>
        <w:gridCol w:w="7920"/>
      </w:tblGrid>
      <w:tr>
        <w:tc>
          <w:tcPr/>
          <w:p>
            <w:pPr>
              <w:pStyle w:val="Compact"/>
              <w:jc w:val="center"/>
            </w:pPr>
            <w:bookmarkStart w:id="42" w:name="fs-idp131195760"/>
            <w:r>
              <w:t xml:space="preserve"> </w:t>
              <w:drawing>
                <wp:inline>
                  <wp:extent cx="5486400" cy="3822191"/>
                  <wp:effectExtent b="0" l="0" r="0" t="0"/>
                  <wp:docPr descr="The diamond is subdivided into four smaller diamonds. The upper diamond is colored red and is associated with fire hazards. The numbers in the fire hazard diamond range from 0 to 4. As the numbers increase, the chemical’s flash point decreases. 0 indicates a substance that will not burn, 1 indicates a substance with a flashpoint above 200 degrees Fahrenheit, 2 indicates a substance with a flashpoint above 100 degrees Fahrenheit and not exceeding 200 degrees Fahrenheit, 3 indicates a substance with a flashpoint below 100 degrees Fahrenheit, and 4 indicates a substance with a flashpoint below 73 degrees Fahrenheit. The right-hand diamond is yellow and is associated with reactivity. The reactivity numbers range from 0 to 4. 0 indicates a stable chemical, 1 indicates a chemical that is unstable if heated, 2 indicates the possibility of a violent chemical change, 3 indicates that shock and heat may detonate the chemical and 4 indicates that the chemical may detonate. The lower diamond is white and is associated with specific hazards. These contain abbreviations that describe specific hazardous characteristic of the chemical. O X indicates an oxidizer, A C I D indicates an acid, A L K indicates an alkali, C O R indicates corrosive, a W with a line through it indicates use no water, and a symbol of a dot surrounded by three triangles indicates radioactive. The leftmost diamond is blue and is associated with health hazards. The numbers in the health hazard diamond range from 0 to 4. 0 indicates a normal material, 1 indicates slightly hazardous, 2 indicates hazardous, 3 indicates extreme danger, and 4 indicates deadly." title="" id="40" name="Picture"/>
                  <a:graphic>
                    <a:graphicData uri="http://schemas.openxmlformats.org/drawingml/2006/picture">
                      <pic:pic>
                        <pic:nvPicPr>
                          <pic:cNvPr descr="../resources/7c0b3a0a4500864873d24ad10dac324a653c34ef" id="41" name="Picture"/>
                          <pic:cNvPicPr>
                            <a:picLocks noChangeArrowheads="1" noChangeAspect="1"/>
                          </pic:cNvPicPr>
                        </pic:nvPicPr>
                        <pic:blipFill>
                          <a:blip r:embed="rId39"/>
                          <a:stretch>
                            <a:fillRect/>
                          </a:stretch>
                        </pic:blipFill>
                        <pic:spPr bwMode="auto">
                          <a:xfrm>
                            <a:off x="0" y="0"/>
                            <a:ext cx="5486400" cy="3822191"/>
                          </a:xfrm>
                          <a:prstGeom prst="rect">
                            <a:avLst/>
                          </a:prstGeom>
                          <a:noFill/>
                          <a:ln w="9525">
                            <a:noFill/>
                            <a:headEnd/>
                            <a:tailEnd/>
                          </a:ln>
                        </pic:spPr>
                      </pic:pic>
                    </a:graphicData>
                  </a:graphic>
                </wp:inline>
              </w:drawing>
              <w:t xml:space="preserve"> </w:t>
            </w:r>
            <w:bookmarkEnd w:id="42"/>
          </w:p>
        </w:tc>
      </w:tr>
    </w:tbl>
    <w:p>
      <w:pPr>
        <w:pStyle w:val="NoteExampleGrey"/>
      </w:pPr>
      <w:r>
        <w:t xml:space="preserve">Mynd 1.21 Hættudemantur Landssambands brunavarna í Bandaríkjunum (NFPA) dregur saman helstu hættur af völdum efnis.</w:t>
      </w:r>
    </w:p>
    <w:p>
      <w:pPr>
        <w:pStyle w:val="NoteExampleGrey"/>
      </w:pPr>
      <w:r>
        <w:t xml:space="preserve">Hættugreiningarkerfið NFPA 704 var þróað af Landssambandi brunavarna í Bandaríkjunum (NFPA) til að veita öryggisupplýsingar um tiltekin efni. Kerfið lýsir eldfimi, hvarfgirni, heilsufari og öðrum hættum. Innan demantstáknsins í heild sinni tilgreinir efsti (rauði) demanturinn stig eldhættu (hitastigssvið fyrir blossamark). Blái (vinstri) demanturinn gefur til kynna stig heilsufarsáhættu. Guli (hægri) demanturinn lýsir hvarfgirnihættum, svo sem hversu auðveldlega efnið mun gangast undir sprengingu eða ofsafengna efnabreytingu. Hvíti tígullinn (neðst) gefur til kynna sérstakar hættur, svo sem hvort efnið sé oxari (sem gerir því kleift að brenna án lofts/súrefnis), hvarfist á óvenjulegan eða hættulegan hátt við vatn, sé tærandi, súrt, basískt, líffræðileg hætta, geislavirkt og svo framvegis. Hver hætta er metin á kvarða frá 0 til 4, þar sem 0 er engin hætta og 4 er gríðarlega hættulegt.</w:t>
      </w:r>
    </w:p>
    <w:bookmarkEnd w:id="43"/>
    <w:p>
      <w:pPr>
        <w:pStyle w:val="TextBody"/>
      </w:pPr>
      <w:r>
        <w:t xml:space="preserve">Þótt mörg frumefni séu verulega ólík hvað varðar efna- og eðliseiginleika, hafa sum frumefni svipaða eiginleika. Til dæmis leiða mörg frumefni varma og rafmagn vel, á meðan önnur eru lélegir leiðarar. Hægt er að nota þessa eiginleika til að flokka frumefnin í þrjá flokka: málma (frumefni sem leiða vel), málmleysingja (frumefni sem leiða illa) og hálfmálma (frumefni sem hafa miðlungsleiðni).</w:t>
      </w:r>
    </w:p>
    <w:p>
      <w:pPr>
        <w:pStyle w:val="TextBody"/>
      </w:pPr>
      <w:r>
        <w:t xml:space="preserve">Lotukerfið er tafla yfir frumefni sem raðar saman frumefnum með svipaða eiginleika (</w:t>
      </w:r>
      <w:hyperlink w:anchor="CNX_Chem_01_03_PeriodicPU">
        <w:r>
          <w:rPr>
            <w:rStyle w:val="InternetLink"/>
          </w:rPr>
          <w:t xml:space="preserve">mynd 1.22</w:t>
        </w:r>
      </w:hyperlink>
      <w:r>
        <w:t xml:space="preserve">). Þú munt læra meira um lotukerfið eftir því sem þú heldur áfram í efnafræðináminu.</w:t>
      </w:r>
    </w:p>
    <w:tbl>
      <w:tblPr>
        <w:tblStyle w:val="FigureTable"/>
        <w:tblW w:type="auto" w:w="0"/>
        <w:tblLook w:firstRow="0" w:lastRow="0" w:firstColumn="0" w:lastColumn="0"/>
        <w:jc w:val="center"/>
      </w:tblPr>
      <w:tblGrid>
        <w:gridCol w:w="7920"/>
      </w:tblGrid>
      <w:tr>
        <w:tc>
          <w:tcPr/>
          <w:p>
            <w:pPr>
              <w:pStyle w:val="Compact"/>
              <w:jc w:val="center"/>
            </w:pPr>
            <w:bookmarkStart w:id="47" w:name="fs-idm104246448"/>
            <w:r>
              <w:t xml:space="preserve"> </w:t>
              <w:drawing>
                <wp:inline>
                  <wp:extent cx="5943600" cy="4645152"/>
                  <wp:effectExtent b="0" l="0" r="0" t="0"/>
                  <wp:docPr descr="On this depiction of the periodic table, the metals are indicated with a yellow color and dominate the left two thirds of the periodic table. The nonmetals are colored peach and are largely confined to the upper right area of the table, with the exception of hydrogen, H, which is located in the extreme upper left of the table. The metalloids are colored purple and form a diagonal border between the metal and nonmetal areas of the table. Group 13 contains both metals and metalloids. Group 17 contains both nonmetals and metalloids. Groups 14 through 16 contain at least one representative of a metal, a metalloid, and a nonmetal. A key shows that, at room temperature, metals are solids, metalloids are liquids, and nonmetals are gases." title="" id="45" name="Picture"/>
                  <a:graphic>
                    <a:graphicData uri="http://schemas.openxmlformats.org/drawingml/2006/picture">
                      <pic:pic>
                        <pic:nvPicPr>
                          <pic:cNvPr descr="../resources/029f72e6a7f96c5397e3cf506bedd36310016076" id="46" name="Picture"/>
                          <pic:cNvPicPr>
                            <a:picLocks noChangeArrowheads="1" noChangeAspect="1"/>
                          </pic:cNvPicPr>
                        </pic:nvPicPr>
                        <pic:blipFill>
                          <a:blip r:embed="rId44"/>
                          <a:stretch>
                            <a:fillRect/>
                          </a:stretch>
                        </pic:blipFill>
                        <pic:spPr bwMode="auto">
                          <a:xfrm>
                            <a:off x="0" y="0"/>
                            <a:ext cx="5943600" cy="4645152"/>
                          </a:xfrm>
                          <a:prstGeom prst="rect">
                            <a:avLst/>
                          </a:prstGeom>
                          <a:noFill/>
                          <a:ln w="9525">
                            <a:noFill/>
                            <a:headEnd/>
                            <a:tailEnd/>
                          </a:ln>
                        </pic:spPr>
                      </pic:pic>
                    </a:graphicData>
                  </a:graphic>
                </wp:inline>
              </w:drawing>
              <w:t xml:space="preserve"> </w:t>
            </w:r>
            <w:bookmarkEnd w:id="47"/>
          </w:p>
        </w:tc>
      </w:tr>
    </w:tbl>
    <w:p>
      <w:pPr>
        <w:pStyle w:val="TextBody"/>
      </w:pPr>
      <w:r>
        <w:t xml:space="preserve">Mynd 1.22 Lotukerfið sýnir hvernig hægt er að flokka frumefni eftir ákveðnum svipuðum eiginleikum. Taktu eftir að bakgrunnsliturinn gefur til kynna hvort frumefni er málmur, hálfmálmur eða málmleysingi, en liturinn á tákni frumefnisins gefur til kynna hvort það er fast efni, vökvi eða gas.</w:t>
      </w:r>
    </w:p>
    <w:bookmarkEnd w:id="48"/>
    <w:bookmarkEnd w:id="4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4" Target="media/rId44.so" /><Relationship Type="http://schemas.openxmlformats.org/officeDocument/2006/relationships/image" Id="rId33" Target="media/rId33.so" /><Relationship Type="http://schemas.openxmlformats.org/officeDocument/2006/relationships/image" Id="rId23" Target="media/rId23.so" /><Relationship Type="http://schemas.openxmlformats.org/officeDocument/2006/relationships/image" Id="rId39" Target="media/rId39.so" /><Relationship Type="http://schemas.openxmlformats.org/officeDocument/2006/relationships/image" Id="rId28" Target="media/rId2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2025-01-24T22:28:46Z</dcterms:created>
  <dcterms:modified xsi:type="dcterms:W3CDTF">2025-01-24T22:28:46Z</dcterms:modified>
</cp:coreProperties>
</file>

<file path=docProps/custom.xml><?xml version="1.0" encoding="utf-8"?>
<Properties xmlns="http://schemas.openxmlformats.org/officeDocument/2006/custom-properties" xmlns:vt="http://schemas.openxmlformats.org/officeDocument/2006/docPropsVTypes"/>
</file>