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801ab718b425d52549c2bcaea45a13ee7e6223"/>
    <w:tbl>
      <w:tblPr>
        <w:tblStyle w:val="FigureTable"/>
        <w:tblW w:type="auto" w:w="0"/>
        <w:tblLook w:firstRow="0" w:lastRow="0" w:firstColumn="0" w:lastColumn="0"/>
        <w:jc w:val="center"/>
      </w:tblPr>
      <w:tblGrid>
        <w:gridCol w:w="7920"/>
      </w:tblGrid>
      <w:tr>
        <w:tc>
          <w:tcPr/>
          <w:p>
            <w:pPr>
              <w:pStyle w:val="Compact"/>
              <w:jc w:val="center"/>
            </w:pPr>
            <w:bookmarkStart w:id="23" w:name="fs-idm52126432"/>
            <w:r>
              <w:t xml:space="preserve"> </w:t>
              <w:drawing>
                <wp:inline>
                  <wp:extent cx="5943600" cy="1257300"/>
                  <wp:effectExtent b="0" l="0" r="0" t="0"/>
                  <wp:docPr descr="A photo collage shows a cup of black coffee, a hand covered in foamy soap, a remote control, and a gasoline pump nozzle inserted into a vehicle’s gas tank." title="" id="21" name="Picture"/>
                  <a:graphic>
                    <a:graphicData uri="http://schemas.openxmlformats.org/drawingml/2006/picture">
                      <pic:pic>
                        <pic:nvPicPr>
                          <pic:cNvPr descr="../resources/54bb4c0b665d93a2bd7748ca0ec7831cd2f8110a" id="22" name="Picture"/>
                          <pic:cNvPicPr>
                            <a:picLocks noChangeArrowheads="1" noChangeAspect="1"/>
                          </pic:cNvPicPr>
                        </pic:nvPicPr>
                        <pic:blipFill>
                          <a:blip r:embed="rId20"/>
                          <a:stretch>
                            <a:fillRect/>
                          </a:stretch>
                        </pic:blipFill>
                        <pic:spPr bwMode="auto">
                          <a:xfrm>
                            <a:off x="0" y="0"/>
                            <a:ext cx="5943600" cy="1257300"/>
                          </a:xfrm>
                          <a:prstGeom prst="rect">
                            <a:avLst/>
                          </a:prstGeom>
                          <a:noFill/>
                          <a:ln w="9525">
                            <a:noFill/>
                            <a:headEnd/>
                            <a:tailEnd/>
                          </a:ln>
                        </pic:spPr>
                      </pic:pic>
                    </a:graphicData>
                  </a:graphic>
                </wp:inline>
              </w:drawing>
              <w:t xml:space="preserve"> </w:t>
            </w:r>
            <w:bookmarkEnd w:id="23"/>
          </w:p>
        </w:tc>
      </w:tr>
    </w:tbl>
    <w:p>
      <w:pPr>
        <w:pStyle w:val="TextBody"/>
      </w:pPr>
      <w:r>
        <w:t xml:space="preserve">Mynd  1.1   Efni og ferli eru nauðsynleg fyrir tilveru okkar, veita næringu, halda okkur hreinum og heilbrigðum, framleiða rafeindatæki, gera samgöngur mögulegar og margt fleira. (heimild „vinstri“: breyting á verki „vxla“/Flickr; heimild „vinstri miðja“: breyting á verki eftir „the Italian voice“/Flickr; heimild „hægri miðja“: breyting á verki eftir Jason Trim; heimild „hægri“: breyting á verki eftir „gosheshe“/Flickr)</w:t>
      </w:r>
    </w:p>
    <w:bookmarkStart w:id="30" w:name="chapter-outline"/>
    <w:p>
      <w:pPr>
        <w:pStyle w:val="Heading3"/>
      </w:pPr>
      <w:r>
        <w:t>Kaflayfirlit</w:t>
      </w:r>
    </w:p>
    <w:p>
      <w:pPr>
        <w:pStyle w:val="FirstParagraph"/>
      </w:pPr>
      <w:hyperlink r:id="rId24">
        <w:r>
          <w:rPr>
            <w:rStyle w:val="InternetLink"/>
          </w:rPr>
          <w:t xml:space="preserve">1.1 Efnafræði í samhengi</w:t>
        </w:r>
      </w:hyperlink>
    </w:p>
    <w:p>
      <w:pPr>
        <w:pStyle w:val="TextBody"/>
      </w:pPr>
      <w:hyperlink r:id="rId25">
        <w:r>
          <w:rPr>
            <w:rStyle w:val="InternetLink"/>
          </w:rPr>
          <w:t xml:space="preserve">1.2 Fasar og flokkun efnis</w:t>
        </w:r>
      </w:hyperlink>
    </w:p>
    <w:p>
      <w:pPr>
        <w:pStyle w:val="TextBody"/>
      </w:pPr>
      <w:hyperlink r:id="rId26">
        <w:r>
          <w:rPr>
            <w:rStyle w:val="InternetLink"/>
          </w:rPr>
          <w:t xml:space="preserve">1.3 Eðlis- og efnafræðilegir eiginleikar</w:t>
        </w:r>
      </w:hyperlink>
    </w:p>
    <w:p>
      <w:pPr>
        <w:pStyle w:val="TextBody"/>
      </w:pPr>
      <w:hyperlink r:id="rId27">
        <w:r>
          <w:rPr>
            <w:rStyle w:val="InternetLink"/>
          </w:rPr>
          <w:t xml:space="preserve">1.4   Mælingar</w:t>
        </w:r>
      </w:hyperlink>
    </w:p>
    <w:p>
      <w:pPr>
        <w:pStyle w:val="TextBody"/>
      </w:pPr>
      <w:hyperlink r:id="rId28">
        <w:r>
          <w:rPr>
            <w:rStyle w:val="InternetLink"/>
          </w:rPr>
          <w:t xml:space="preserve">1.5 Óvissa, hittni og nákvæmni í mælingum</w:t>
        </w:r>
      </w:hyperlink>
    </w:p>
    <w:p>
      <w:pPr>
        <w:pStyle w:val="TextBody"/>
      </w:pPr>
      <w:hyperlink r:id="rId29">
        <w:r>
          <w:rPr>
            <w:rStyle w:val="InternetLink"/>
          </w:rPr>
          <w:t xml:space="preserve">1.6 Stærðfræðileg meðferð á niðurstöðum mælinga</w:t>
        </w:r>
      </w:hyperlink>
    </w:p>
    <w:bookmarkEnd w:id="30"/>
    <w:bookmarkStart w:id="31" w:name="X07eb9a891ec142eeea79c227fffa82fd6a974d7"/>
    <w:p>
      <w:pPr>
        <w:pStyle w:val="Heading2"/>
      </w:pPr>
      <w:r>
        <w:t>Inngangur</w:t>
      </w:r>
    </w:p>
    <w:p>
      <w:pPr>
        <w:pStyle w:val="FirstParagraph"/>
      </w:pPr>
      <w:r>
        <w:t xml:space="preserve">Vekjaraklukkan hringir og eftir að hafa ýtt einu sinni eða tvisvar á blundhnappinn dregur þú þig á fætur. Þú býrð til kaffibolla til að koma þér af stað, ferð svo í sturtu, klæðir þig, borðar morgunmat og athugar hvort þú hafir fengið skilaboð í símann. Á leiðinni í skólann stoppar þú til að fylla á bensíntank bílsins, sem verður til þess að þú ert næstum of seinn í fyrsta efnafræðitímann. Þegar þú finnur sæti í skólastofunni lest þú spurninguna sem varpað er á skjáinn: „Velkomin í tíma! Af hverju ættum við að læra efnafræði?“</w:t>
      </w:r>
    </w:p>
    <w:p>
      <w:pPr>
        <w:pStyle w:val="TextBody"/>
      </w:pPr>
      <w:r>
        <w:t xml:space="preserve">Hefur þú svar við því? Þú gætir verið að læra efnafræði vegna þess að það uppfyllir námskröfur, en ef þú hugsar um daglegar athafnir þínar gæti efnafræði vakið áhuga þinn af öðrum ástæðum. Næstum allt sem þú gerir og lendir í yfir daginn felur í sér efnafræði. Að búa til kaffi, elda egg og rista brauð felur í sér efnafræði. Vörurnar sem þú notar – eins og sápa og sjampó, efnin í fötunum sem þú klæðist, raftækin sem halda þér í sambandi við umheiminn, bensínið sem knýr bílinn þinn – allt þetta og meira til felur í sér efni og efnaferla. Hvort sem þú gerir þér grein fyrir því eða ekki, þá er efnafræði hluti af þínum daglega heimi. Í þessu námskeiði munt þú læra mörg af grundvallarlögmálunum sem liggja að baki efnafræði nútímalífs.</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1-chemistry-in-context" TargetMode="External" /><Relationship Type="http://schemas.openxmlformats.org/officeDocument/2006/relationships/hyperlink" Id="rId25"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7" Target="http://openstax.org/books/chemistry-2e/pages/1-4-measurements" TargetMode="External" /><Relationship Type="http://schemas.openxmlformats.org/officeDocument/2006/relationships/hyperlink" Id="rId28" Target="http://openstax.org/books/chemistry-2e/pages/1-5-measurement-uncertainty-accuracy-and-precision" TargetMode="External" /><Relationship Type="http://schemas.openxmlformats.org/officeDocument/2006/relationships/hyperlink" Id="rId29" Target="http://openstax.org/books/chemistry-2e/pages/1-6-mathematical-treatment-of-measurement-resu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1-chemistry-in-context" TargetMode="External" /><Relationship Type="http://schemas.openxmlformats.org/officeDocument/2006/relationships/hyperlink" Id="rId25"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7" Target="http://openstax.org/books/chemistry-2e/pages/1-4-measurements" TargetMode="External" /><Relationship Type="http://schemas.openxmlformats.org/officeDocument/2006/relationships/hyperlink" Id="rId28" Target="http://openstax.org/books/chemistry-2e/pages/1-5-measurement-uncertainty-accuracy-and-precision" TargetMode="External" /><Relationship Type="http://schemas.openxmlformats.org/officeDocument/2006/relationships/hyperlink" Id="rId29" Target="http://openstax.org/books/chemistry-2e/pages/1-6-mathematical-treatment-of-measurement-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2025-01-24T22:23:46Z</dcterms:created>
  <dcterms:modified xsi:type="dcterms:W3CDTF">2025-01-24T22:23:46Z</dcterms:modified>
</cp:coreProperties>
</file>

<file path=docProps/custom.xml><?xml version="1.0" encoding="utf-8"?>
<Properties xmlns="http://schemas.openxmlformats.org/officeDocument/2006/custom-properties" xmlns:vt="http://schemas.openxmlformats.org/officeDocument/2006/docPropsVTypes"/>
</file>