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composite-page-1"/>
    <w:bookmarkStart w:id="20" w:name="key-terms"/>
    <w:p>
      <w:pPr>
        <w:pStyle w:val="Heading2"/>
      </w:pPr>
      <w:r>
        <w:t>Lykilhugtök</w:t>
      </w:r>
    </w:p>
    <w:p>
      <w:pPr>
        <w:pStyle w:val="DefinitionTerm"/>
      </w:pPr>
      <w:r>
        <w:t>Nákvæmni</w:t>
      </w:r>
    </w:p>
    <w:p>
      <w:pPr>
        <w:pStyle w:val="Definition"/>
      </w:pPr>
      <w:r>
        <w:t xml:space="preserve">hversu vel mæling samræmist réttu gildi</w:t>
      </w:r>
    </w:p>
    <w:p>
      <w:pPr>
        <w:pStyle w:val="DefinitionTerm"/>
      </w:pPr>
      <w:r>
        <w:t>frumeind</w:t>
      </w:r>
    </w:p>
    <w:p>
      <w:pPr>
        <w:pStyle w:val="Definition"/>
      </w:pPr>
      <w:r>
        <w:t xml:space="preserve">minnsta ögn frumefnis sem getur gengið í efnasamband</w:t>
      </w:r>
    </w:p>
    <w:p>
      <w:pPr>
        <w:pStyle w:val="DefinitionTerm"/>
      </w:pPr>
      <w:r>
        <w:t xml:space="preserve">Celsíus (°C)</w:t>
      </w:r>
    </w:p>
    <w:p>
      <w:pPr>
        <w:pStyle w:val="Definition"/>
      </w:pPr>
      <w:r>
        <w:t xml:space="preserve">hitastigseining; vatn frýs við 0 °C og sýður við 100 °C á þessum kvarða</w:t>
      </w:r>
    </w:p>
    <w:p>
      <w:pPr>
        <w:pStyle w:val="DefinitionTerm"/>
      </w:pPr>
      <w:r>
        <w:t>efnabreytingar</w:t>
      </w:r>
    </w:p>
    <w:p>
      <w:pPr>
        <w:pStyle w:val="Definition"/>
      </w:pPr>
      <w:r>
        <w:t xml:space="preserve">breyting sem myndar nýtt efni úr upprunalega efninu</w:t>
      </w:r>
    </w:p>
    <w:p>
      <w:pPr>
        <w:pStyle w:val="DefinitionTerm"/>
      </w:pPr>
      <w:r>
        <w:t>efnaeiginleikar</w:t>
      </w:r>
    </w:p>
    <w:p>
      <w:pPr>
        <w:pStyle w:val="Definition"/>
      </w:pPr>
      <w:r>
        <w:t xml:space="preserve">hegðun sem tengist breytingu á einu efni í annað</w:t>
      </w:r>
    </w:p>
    <w:p>
      <w:pPr>
        <w:pStyle w:val="DefinitionTerm"/>
      </w:pPr>
      <w:r>
        <w:t>efnafræði</w:t>
      </w:r>
    </w:p>
    <w:p>
      <w:pPr>
        <w:pStyle w:val="Definition"/>
      </w:pPr>
      <w:r>
        <w:t xml:space="preserve">rannsóknir á samsetningu, eiginleikum og samspili efnis</w:t>
      </w:r>
    </w:p>
    <w:p>
      <w:pPr>
        <w:pStyle w:val="DefinitionTerm"/>
      </w:pPr>
      <w:r>
        <w:t>efnasamband</w:t>
      </w:r>
    </w:p>
    <w:p>
      <w:pPr>
        <w:pStyle w:val="Definition"/>
      </w:pPr>
      <w:r>
        <w:t xml:space="preserve">hreint efni sem hægt er að brjóta niður í tvö eða fleiri frumefni</w:t>
      </w:r>
    </w:p>
    <w:p>
      <w:pPr>
        <w:pStyle w:val="DefinitionTerm"/>
      </w:pPr>
      <w:r>
        <w:t xml:space="preserve">rúmsentimetri (cm</w:t>
      </w:r>
      <w:r>
        <w:rPr>
          <w:vertAlign w:val="superscript"/>
        </w:rPr>
        <w:t>3</w:t>
      </w:r>
      <w:r>
        <w:t xml:space="preserve"> eða cc)</w:t>
      </w:r>
    </w:p>
    <w:p>
      <w:pPr>
        <w:pStyle w:val="Definition"/>
      </w:pPr>
      <w:r>
        <w:t xml:space="preserve">rúmmál tenings með brúnarlengdina nákvæmlega 1 cm</w:t>
      </w:r>
    </w:p>
    <w:p>
      <w:pPr>
        <w:pStyle w:val="DefinitionTerm"/>
      </w:pPr>
      <w:r>
        <w:t xml:space="preserve">rúmmetri (m</w:t>
      </w:r>
      <w:r>
        <w:rPr>
          <w:vertAlign w:val="superscript"/>
        </w:rPr>
        <w:t>3</w:t>
      </w:r>
      <w:r>
        <w:t>)</w:t>
      </w:r>
    </w:p>
    <w:p>
      <w:pPr>
        <w:pStyle w:val="Definition"/>
      </w:pPr>
      <w:r>
        <w:t xml:space="preserve">SI-eining rúmmáls</w:t>
      </w:r>
    </w:p>
    <w:p>
      <w:pPr>
        <w:pStyle w:val="DefinitionTerm"/>
      </w:pPr>
      <w:r>
        <w:t>Eðlismassi</w:t>
      </w:r>
    </w:p>
    <w:p>
      <w:pPr>
        <w:pStyle w:val="Definition"/>
      </w:pPr>
      <w:r>
        <w:t xml:space="preserve">hlutfall massa og rúmmáls fyrir efni eða hlut</w:t>
      </w:r>
    </w:p>
    <w:p>
      <w:pPr>
        <w:pStyle w:val="DefinitionTerm"/>
      </w:pPr>
      <w:r>
        <w:t>Einingagreining</w:t>
      </w:r>
    </w:p>
    <w:p>
      <w:pPr>
        <w:pStyle w:val="Definition"/>
      </w:pPr>
      <w:r>
        <w:t xml:space="preserve">fjölhæf stærðfræðileg aðferð sem hægt er að beita á útreikninga, allt frá einföldum einingabreytingum til flóknari, margra þrepa útreikninga sem fela í sér nokkrar mismunandi stærðir</w:t>
      </w:r>
    </w:p>
    <w:p>
      <w:pPr>
        <w:pStyle w:val="DefinitionTerm"/>
      </w:pPr>
      <w:r>
        <w:t>Frumefni</w:t>
      </w:r>
    </w:p>
    <w:p>
      <w:pPr>
        <w:pStyle w:val="Definition"/>
      </w:pPr>
      <w:r>
        <w:t xml:space="preserve">efni sem samanstendur af einni tegund atóma; efni sem ekki er hægt að sundra með efnahvarfi</w:t>
      </w:r>
    </w:p>
    <w:p>
      <w:pPr>
        <w:pStyle w:val="DefinitionTerm"/>
      </w:pPr>
      <w:r>
        <w:t xml:space="preserve">Nákvæm tala</w:t>
      </w:r>
    </w:p>
    <w:p>
      <w:pPr>
        <w:pStyle w:val="Definition"/>
      </w:pPr>
      <w:r>
        <w:t xml:space="preserve">tala fengin með talningu eða samkvæmt skilgreiningu</w:t>
      </w:r>
    </w:p>
    <w:p>
      <w:pPr>
        <w:pStyle w:val="DefinitionTerm"/>
      </w:pPr>
      <w:r>
        <w:t xml:space="preserve">Magnbundinn eiginleiki</w:t>
      </w:r>
    </w:p>
    <w:p>
      <w:pPr>
        <w:pStyle w:val="Definition"/>
      </w:pPr>
      <w:r>
        <w:t xml:space="preserve">eiginleiki efnis sem er háður magni efnisins</w:t>
      </w:r>
    </w:p>
    <w:p>
      <w:pPr>
        <w:pStyle w:val="DefinitionTerm"/>
      </w:pPr>
      <w:r>
        <w:t>Fahrenheit</w:t>
      </w:r>
    </w:p>
    <w:p>
      <w:pPr>
        <w:pStyle w:val="Definition"/>
      </w:pPr>
      <w:r>
        <w:t xml:space="preserve">hitastigseining; vatn frýs við 32 °F og sýður við 212 °F á þessum kvarða</w:t>
      </w:r>
    </w:p>
    <w:p>
      <w:pPr>
        <w:pStyle w:val="DefinitionTerm"/>
      </w:pPr>
      <w:r>
        <w:t>Gas</w:t>
      </w:r>
    </w:p>
    <w:p>
      <w:pPr>
        <w:pStyle w:val="Definition"/>
      </w:pPr>
      <w:r>
        <w:t xml:space="preserve">ástand þar sem efni hefur hvorki ákveðið rúmmál né lögun</w:t>
      </w:r>
    </w:p>
    <w:p>
      <w:pPr>
        <w:pStyle w:val="DefinitionTerm"/>
      </w:pPr>
      <w:r>
        <w:t xml:space="preserve">Misleit efnablanda</w:t>
      </w:r>
    </w:p>
    <w:p>
      <w:pPr>
        <w:pStyle w:val="Definition"/>
      </w:pPr>
      <w:r>
        <w:t xml:space="preserve">sambland efna með samsetningu sem er breytileg frá einum punkti til annars</w:t>
      </w:r>
    </w:p>
    <w:p>
      <w:pPr>
        <w:pStyle w:val="DefinitionTerm"/>
      </w:pPr>
      <w:r>
        <w:t xml:space="preserve">Einsleit efnablanda</w:t>
      </w:r>
    </w:p>
    <w:p>
      <w:pPr>
        <w:pStyle w:val="Definition"/>
      </w:pPr>
      <w:r>
        <w:t xml:space="preserve">(einnig lausn) sambland efna með samsetningu sem er einsleit í gegn</w:t>
      </w:r>
    </w:p>
    <w:p>
      <w:pPr>
        <w:pStyle w:val="DefinitionTerm"/>
      </w:pPr>
      <w:r>
        <w:t>Tilgáta</w:t>
      </w:r>
    </w:p>
    <w:p>
      <w:pPr>
        <w:pStyle w:val="Definition"/>
      </w:pPr>
      <w:r>
        <w:t xml:space="preserve">bráðabirgðaskýring á athugunum sem er leiðarvísir við söfnun og yfirferð upplýsinga</w:t>
      </w:r>
    </w:p>
    <w:p>
      <w:pPr>
        <w:pStyle w:val="DefinitionTerm"/>
      </w:pPr>
      <w:r>
        <w:t xml:space="preserve">eðlisbundinn eiginleiki</w:t>
      </w:r>
    </w:p>
    <w:p>
      <w:pPr>
        <w:pStyle w:val="Definition"/>
      </w:pPr>
      <w:r>
        <w:t xml:space="preserve">eiginleiki efnis sem er óháður magni efnisins</w:t>
      </w:r>
    </w:p>
    <w:p>
      <w:pPr>
        <w:pStyle w:val="DefinitionTerm"/>
      </w:pPr>
      <w:r>
        <w:t xml:space="preserve">Kelvin (K)</w:t>
      </w:r>
    </w:p>
    <w:p>
      <w:pPr>
        <w:pStyle w:val="Definition"/>
      </w:pPr>
      <w:r>
        <w:t xml:space="preserve">SI eining fyrir hitastig; 273,15 K = 0 ºC</w:t>
      </w:r>
    </w:p>
    <w:p>
      <w:pPr>
        <w:pStyle w:val="DefinitionTerm"/>
      </w:pPr>
      <w:r>
        <w:t xml:space="preserve">kílógramm (kg)</w:t>
      </w:r>
    </w:p>
    <w:p>
      <w:pPr>
        <w:pStyle w:val="Definition"/>
      </w:pPr>
      <w:r>
        <w:t xml:space="preserve">staðaleining SI-kerfisins fyrir massa</w:t>
      </w:r>
    </w:p>
    <w:p>
      <w:pPr>
        <w:pStyle w:val="DefinitionTerm"/>
      </w:pPr>
      <w:r>
        <w:t>lögmál</w:t>
      </w:r>
    </w:p>
    <w:p>
      <w:pPr>
        <w:pStyle w:val="Definition"/>
      </w:pPr>
      <w:r>
        <w:t xml:space="preserve">staðhæfing sem dregur saman mikinn fjölda athugana og lýsir eða spáir fyrir um einhvern þátt náttúrunnar.</w:t>
      </w:r>
    </w:p>
    <w:p>
      <w:pPr>
        <w:pStyle w:val="DefinitionTerm"/>
      </w:pPr>
      <w:r>
        <w:t xml:space="preserve">lögmál um varðveislu efnis</w:t>
      </w:r>
    </w:p>
    <w:p>
      <w:pPr>
        <w:pStyle w:val="Definition"/>
      </w:pPr>
      <w:r>
        <w:t xml:space="preserve">þegar efni breytist úr einni gerð í aðra, eða breytir um form, verður engin greinanleg breyting á heildarmagni þess efnis sem er til staðar</w:t>
      </w:r>
    </w:p>
    <w:p>
      <w:pPr>
        <w:pStyle w:val="DefinitionTerm"/>
      </w:pPr>
      <w:r>
        <w:t>lengd</w:t>
      </w:r>
    </w:p>
    <w:p>
      <w:pPr>
        <w:pStyle w:val="Definition"/>
      </w:pPr>
      <w:r>
        <w:t xml:space="preserve">mælikvarði á eina vídd hlutar</w:t>
      </w:r>
    </w:p>
    <w:p>
      <w:pPr>
        <w:pStyle w:val="DefinitionTerm"/>
      </w:pPr>
      <w:r>
        <w:t>vökvi</w:t>
      </w:r>
    </w:p>
    <w:p>
      <w:pPr>
        <w:pStyle w:val="Definition"/>
      </w:pPr>
      <w:r>
        <w:t xml:space="preserve">ástand efnis sem hefur ákveðið rúmmál en óákveðna lögun</w:t>
      </w:r>
    </w:p>
    <w:p>
      <w:pPr>
        <w:pStyle w:val="DefinitionTerm"/>
      </w:pPr>
      <w:r>
        <w:t xml:space="preserve">lítri (L)</w:t>
      </w:r>
    </w:p>
    <w:p>
      <w:pPr>
        <w:pStyle w:val="Definition"/>
      </w:pPr>
      <w:r>
        <w:t xml:space="preserve">(einnig rúmdesimetri) rúmmálseining; 1 L = 1.000 cm</w:t>
      </w:r>
      <w:r>
        <w:rPr>
          <w:vertAlign w:val="superscript"/>
        </w:rPr>
        <w:t>3</w:t>
      </w:r>
    </w:p>
    <w:p>
      <w:pPr>
        <w:pStyle w:val="DefinitionTerm"/>
      </w:pPr>
      <w:r>
        <w:t xml:space="preserve">stórsætt svið</w:t>
      </w:r>
    </w:p>
    <w:p>
      <w:pPr>
        <w:pStyle w:val="Definition"/>
      </w:pPr>
      <w:r>
        <w:t xml:space="preserve">svið hversdagslegra hluta sem eru nógu stórir til að vera skynjaðir beint með sjón og snertingu</w:t>
      </w:r>
    </w:p>
    <w:p>
      <w:pPr>
        <w:pStyle w:val="DefinitionTerm"/>
      </w:pPr>
      <w:r>
        <w:t>massi</w:t>
      </w:r>
    </w:p>
    <w:p>
      <w:pPr>
        <w:pStyle w:val="Definition"/>
      </w:pPr>
      <w:r>
        <w:t xml:space="preserve">grunneiginleiki sem gefur til kynna magn efnis</w:t>
      </w:r>
    </w:p>
    <w:p>
      <w:pPr>
        <w:pStyle w:val="DefinitionTerm"/>
      </w:pPr>
      <w:r>
        <w:t>efni</w:t>
      </w:r>
    </w:p>
    <w:p>
      <w:pPr>
        <w:pStyle w:val="Definition"/>
      </w:pPr>
      <w:r>
        <w:t xml:space="preserve">allt sem tekur pláss og hefur massa</w:t>
      </w:r>
    </w:p>
    <w:p>
      <w:pPr>
        <w:pStyle w:val="DefinitionTerm"/>
      </w:pPr>
      <w:r>
        <w:t xml:space="preserve">metri (m)</w:t>
      </w:r>
    </w:p>
    <w:p>
      <w:pPr>
        <w:pStyle w:val="Definition"/>
      </w:pPr>
      <w:r>
        <w:t xml:space="preserve">stöðluð lengdareining metrakerfisins og SI-kerfisins; 1 m = u.þ.b. 1,094 yardar</w:t>
      </w:r>
    </w:p>
    <w:p>
      <w:pPr>
        <w:pStyle w:val="DefinitionTerm"/>
      </w:pPr>
      <w:r>
        <w:t xml:space="preserve">smásætt svið</w:t>
      </w:r>
    </w:p>
    <w:p>
      <w:pPr>
        <w:pStyle w:val="Definition"/>
      </w:pPr>
      <w:r>
        <w:t xml:space="preserve">svið hluta sem eru of smáir til að vera skynjaðir beint</w:t>
      </w:r>
    </w:p>
    <w:p>
      <w:pPr>
        <w:pStyle w:val="DefinitionTerm"/>
      </w:pPr>
      <w:r>
        <w:t xml:space="preserve">millilítri (mL)</w:t>
      </w:r>
    </w:p>
    <w:p>
      <w:pPr>
        <w:pStyle w:val="Definition"/>
      </w:pPr>
      <w:r>
        <w:t xml:space="preserve">1/1.000 úr lítra; jafngildir 1 cm</w:t>
      </w:r>
      <w:r>
        <w:rPr>
          <w:vertAlign w:val="superscript"/>
        </w:rPr>
        <w:t>3</w:t>
      </w:r>
    </w:p>
    <w:p>
      <w:pPr>
        <w:pStyle w:val="DefinitionTerm"/>
      </w:pPr>
      <w:r>
        <w:t>efnablanda</w:t>
      </w:r>
    </w:p>
    <w:p>
      <w:pPr>
        <w:pStyle w:val="Definition"/>
      </w:pPr>
      <w:r>
        <w:t xml:space="preserve">efni sem hægt er að aðskilja í efnisþætti sína með eðlisfræðilegum aðferðum</w:t>
      </w:r>
    </w:p>
    <w:p>
      <w:pPr>
        <w:pStyle w:val="DefinitionTerm"/>
      </w:pPr>
      <w:r>
        <w:t>sameind</w:t>
      </w:r>
    </w:p>
    <w:p>
      <w:pPr>
        <w:pStyle w:val="Definition"/>
      </w:pPr>
      <w:r>
        <w:t xml:space="preserve">tengt safn tveggja eða fleiri atóma af sama eða mismunandi frumefnum</w:t>
      </w:r>
    </w:p>
    <w:p>
      <w:pPr>
        <w:pStyle w:val="DefinitionTerm"/>
      </w:pPr>
      <w:r>
        <w:t>eðlisbreyting</w:t>
      </w:r>
    </w:p>
    <w:p>
      <w:pPr>
        <w:pStyle w:val="Definition"/>
      </w:pPr>
      <w:r>
        <w:t xml:space="preserve">breyting á efnisham eða eiginleikum efnis sem felur ekki í sér breytingu á efnasamsetningu þess</w:t>
      </w:r>
    </w:p>
    <w:p>
      <w:pPr>
        <w:pStyle w:val="DefinitionTerm"/>
      </w:pPr>
      <w:r>
        <w:t>eðliseiginleiki</w:t>
      </w:r>
    </w:p>
    <w:p>
      <w:pPr>
        <w:pStyle w:val="Definition"/>
      </w:pPr>
      <w:r>
        <w:t xml:space="preserve">einkenni efnis sem er ekki tengt neinni breytingu á efnasamsetningu þess</w:t>
      </w:r>
    </w:p>
    <w:p>
      <w:pPr>
        <w:pStyle w:val="DefinitionTerm"/>
      </w:pPr>
      <w:r>
        <w:t>rafgas</w:t>
      </w:r>
    </w:p>
    <w:p>
      <w:pPr>
        <w:pStyle w:val="Definition"/>
      </w:pPr>
      <w:r>
        <w:t xml:space="preserve">gaskenndur efnishamur sem inniheldur mikinn fjölda rafhlaðinna atóma og/eða sameinda</w:t>
      </w:r>
    </w:p>
    <w:p>
      <w:pPr>
        <w:pStyle w:val="DefinitionTerm"/>
      </w:pPr>
      <w:r>
        <w:t>nákvæmni</w:t>
      </w:r>
    </w:p>
    <w:p>
      <w:pPr>
        <w:pStyle w:val="Definition"/>
      </w:pPr>
      <w:r>
        <w:t xml:space="preserve">hversu nálægt mæling er sömu mælingu þegar hún er endurtekin</w:t>
      </w:r>
    </w:p>
    <w:p>
      <w:pPr>
        <w:pStyle w:val="DefinitionTerm"/>
      </w:pPr>
      <w:r>
        <w:t xml:space="preserve">hreint efni</w:t>
      </w:r>
    </w:p>
    <w:p>
      <w:pPr>
        <w:pStyle w:val="Definition"/>
      </w:pPr>
      <w:r>
        <w:t xml:space="preserve">einsleitt efni sem hefur fasta samsetningu</w:t>
      </w:r>
    </w:p>
    <w:p>
      <w:pPr>
        <w:pStyle w:val="DefinitionTerm"/>
      </w:pPr>
      <w:r>
        <w:t>námundun</w:t>
      </w:r>
    </w:p>
    <w:p>
      <w:pPr>
        <w:pStyle w:val="Definition"/>
      </w:pPr>
      <w:r>
        <w:t xml:space="preserve">aðferð sem notuð er til að tryggja að útreiknaðar niðurstöður endurspegli á réttan hátt óvissuna í þeim mælingum sem notaðar eru í útreikningnum</w:t>
      </w:r>
    </w:p>
    <w:p>
      <w:pPr>
        <w:pStyle w:val="DefinitionTerm"/>
      </w:pPr>
      <w:r>
        <w:t xml:space="preserve">vísindaleg aðferð</w:t>
      </w:r>
    </w:p>
    <w:p>
      <w:pPr>
        <w:pStyle w:val="Definition"/>
      </w:pPr>
      <w:r>
        <w:t xml:space="preserve">uppgötvunarferli sem leiðir frá spurningu og athugun til lögmáls eða tilgátu til kenningar, ásamt tilraunakenndri sannprófun á tilgátunni og hvers kyns nauðsynlegri breytingu á kenningunni</w:t>
      </w:r>
    </w:p>
    <w:p>
      <w:pPr>
        <w:pStyle w:val="DefinitionTerm"/>
      </w:pPr>
      <w:r>
        <w:t xml:space="preserve">sekúnda (s)</w:t>
      </w:r>
    </w:p>
    <w:p>
      <w:pPr>
        <w:pStyle w:val="Definition"/>
      </w:pPr>
      <w:r>
        <w:t xml:space="preserve">SI-eining tíma</w:t>
      </w:r>
    </w:p>
    <w:p>
      <w:pPr>
        <w:pStyle w:val="DefinitionTerm"/>
      </w:pPr>
      <w:r>
        <w:t xml:space="preserve">SI-einingar (Alþjóðlega einingakerfið)</w:t>
      </w:r>
    </w:p>
    <w:p>
      <w:pPr>
        <w:pStyle w:val="Definition"/>
      </w:pPr>
      <w:r>
        <w:t xml:space="preserve">staðlar sem eru fastsettir með alþjóðlegum samningi í Alþjóðlega einingakerfinu (</w:t>
      </w:r>
      <w:r>
        <w:rPr>
          <w:i/>
        </w:rPr>
        <w:t xml:space="preserve">Le Système International d’Unités</w:t>
      </w:r>
      <w:r>
        <w:t>)</w:t>
      </w:r>
    </w:p>
    <w:p>
      <w:pPr>
        <w:pStyle w:val="DefinitionTerm"/>
      </w:pPr>
      <w:r>
        <w:t xml:space="preserve">markverðir stafir</w:t>
      </w:r>
    </w:p>
    <w:p>
      <w:pPr>
        <w:pStyle w:val="Definition"/>
      </w:pPr>
      <w:r>
        <w:t xml:space="preserve">(einnig, markverðir tölustafir) allir mældir tölustafir í ákvörðun, þar með talinn óvissi síðasti tölustafurinn</w:t>
      </w:r>
    </w:p>
    <w:p>
      <w:pPr>
        <w:pStyle w:val="DefinitionTerm"/>
      </w:pPr>
      <w:r>
        <w:t xml:space="preserve">fast efni</w:t>
      </w:r>
    </w:p>
    <w:p>
      <w:pPr>
        <w:pStyle w:val="Definition"/>
      </w:pPr>
      <w:r>
        <w:t xml:space="preserve">efnishamur sem er stífur, hefur ákveðið form og nokkuð fast rúmmál</w:t>
      </w:r>
    </w:p>
    <w:p>
      <w:pPr>
        <w:pStyle w:val="DefinitionTerm"/>
      </w:pPr>
      <w:r>
        <w:t xml:space="preserve">táknrænt svið</w:t>
      </w:r>
    </w:p>
    <w:p>
      <w:pPr>
        <w:pStyle w:val="Definition"/>
      </w:pPr>
      <w:r>
        <w:t xml:space="preserve">sérhæft tungumál sem notað er til að tákna þætti á stórsæja og smásæja sviðinu, svo sem efnatákn, efnaformúlur, efnajöfnur, gröf, teikningar og útreikninga</w:t>
      </w:r>
    </w:p>
    <w:p>
      <w:pPr>
        <w:pStyle w:val="DefinitionTerm"/>
      </w:pPr>
      <w:r>
        <w:t>hitastig</w:t>
      </w:r>
    </w:p>
    <w:p>
      <w:pPr>
        <w:pStyle w:val="Definition"/>
      </w:pPr>
      <w:r>
        <w:t xml:space="preserve">eðlisbundinn eiginleiki sem táknar hita eða kulda efnis</w:t>
      </w:r>
    </w:p>
    <w:p>
      <w:pPr>
        <w:pStyle w:val="DefinitionTerm"/>
      </w:pPr>
      <w:r>
        <w:t>kenning</w:t>
      </w:r>
    </w:p>
    <w:p>
      <w:pPr>
        <w:pStyle w:val="Definition"/>
      </w:pPr>
      <w:r>
        <w:t xml:space="preserve">vel rökstudd, yfirgripsmikil, prófanleg útskýring á tilteknum þætti náttúrunnar</w:t>
      </w:r>
    </w:p>
    <w:p>
      <w:pPr>
        <w:pStyle w:val="DefinitionTerm"/>
      </w:pPr>
      <w:r>
        <w:t>óvissa</w:t>
      </w:r>
    </w:p>
    <w:p>
      <w:pPr>
        <w:pStyle w:val="Definition"/>
      </w:pPr>
      <w:r>
        <w:t xml:space="preserve">mat á því hversu mikið mæling víkur frá sönnu gildi</w:t>
      </w:r>
    </w:p>
    <w:p>
      <w:pPr>
        <w:pStyle w:val="DefinitionTerm"/>
      </w:pPr>
      <w:r>
        <w:t>eining</w:t>
      </w:r>
    </w:p>
    <w:p>
      <w:pPr>
        <w:pStyle w:val="Definition"/>
      </w:pPr>
      <w:r>
        <w:t xml:space="preserve">samanburðarstaðall fyrir mælingar</w:t>
      </w:r>
    </w:p>
    <w:p>
      <w:pPr>
        <w:pStyle w:val="DefinitionTerm"/>
      </w:pPr>
      <w:r>
        <w:t xml:space="preserve">umbreytistuðull eininga</w:t>
      </w:r>
    </w:p>
    <w:p>
      <w:pPr>
        <w:pStyle w:val="Definition"/>
      </w:pPr>
      <w:r>
        <w:t xml:space="preserve">hlutfall jafngildra magntalna gefið upp með mismunandi einingum; notað til að breyta úr einni einingu í aðra</w:t>
      </w:r>
    </w:p>
    <w:p>
      <w:pPr>
        <w:pStyle w:val="DefinitionTerm"/>
      </w:pPr>
      <w:r>
        <w:t>rúmmál</w:t>
      </w:r>
    </w:p>
    <w:p>
      <w:pPr>
        <w:pStyle w:val="Definition"/>
      </w:pPr>
      <w:r>
        <w:t xml:space="preserve">rými sem hlutur tekur</w:t>
      </w:r>
    </w:p>
    <w:p>
      <w:pPr>
        <w:pStyle w:val="DefinitionTerm"/>
      </w:pPr>
      <w:r>
        <w:t>þyngd</w:t>
      </w:r>
    </w:p>
    <w:p>
      <w:pPr>
        <w:pStyle w:val="Definition"/>
      </w:pPr>
      <w:r>
        <w:t xml:space="preserve">kraftur sem þyngdarafl beitir á hlut</w:t>
      </w:r>
    </w:p>
    <w:bookmarkEnd w:id="20"/>
    <w:bookmarkEnd w:id="21"/>
    <w:sectPr>
      <w:footerReference r:id="rId9" w:type="default"/>
      <w:footnotePr>
        <w:numFmt w:val="decimal"/>
      </w:footnotePr>
      <w:type w:val="nextPage"/>
      <w:pgSz w:h="15840" w:w="12240"/>
      <w:pgMar w:bottom="1440" w:footer="720" w:gutter="0" w:header="0" w:left="1440" w:right="1440" w:top="1440"/>
      <w:pgNumType w:fmt="decimal"/>
      <w:formProt w:val="false"/>
      <w:textDirection w:val="lrTb"/>
      <w:docGrid w:charSpace="0" w:linePitch="100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nsola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Footer"/>
      <w:jc w:val="center"/>
    </w:pPr>
    <w:r>
      <w:t xml:space="preserve">Ókeypis aðgangur á </w:t>
    </w:r>
    <w:hyperlink r:id="rId1">
      <w:r>
        <w:rPr>
          <w:rStyle w:val="InternetLink"/>
        </w:rPr>
        <w:t>https://openstax.org</w:t>
      </w:r>
    </w:hyperlink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zoom w:percent="140"/>
  <w:embedSystemFonts/>
  <w:defaultTabStop w:val="720"/>
  <w:autoHyphenation w:val="true"/>
  <w:compat>
    <w:compatSetting w:name="compatibilityMode" w:uri="http://schemas.microsoft.com/office/word" w:val="12"/>
    <w:compatSetting w:name="useWord2013TrackBottomHyphenation" w:uri="http://schemas.microsoft.com/office/word" w:val="1"/>
  </w:compat>
  <w:themeFontLang w:bidi="" w:eastAsia="ja-JP" w:val="is-IS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pPrDefault>
      <w:pPr>
        <w:suppressAutoHyphens w:val="true"/>
      </w:pPr>
    </w:pPrDefault>
    <w:rPrDefault>
      <w:rPr>
        <w:rFonts w:ascii="Cambria" w:asciiTheme="minorHAnsi" w:hAnsi="Cambria" w:hAnsiTheme="minorHAnsi" w:cs="" w:cstheme="minorBidi" w:eastAsia="Cambria" w:eastAsiaTheme="minorHAnsi"/>
        <w:sz w:val="24"/>
      </w:rPr>
    </w:r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200" w:before="0"/>
      <w:jc w:val="left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Heading1" w:type="paragraph">
    <w:name w:val="Heading 1"/>
    <w:basedOn w:val="Normal"/>
    <w:next w:val="TextBody"/>
    <w:uiPriority w:val="9"/>
    <w:qFormat/>
    <w:pPr>
      <w:keepNext w:val="true"/>
      <w:keepLines/>
      <w:spacing w:after="0" w:before="480"/>
      <w:outlineLvl w:val="0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32"/>
    </w:rPr>
  </w:style>
  <w:style w:styleId="Heading2" w:type="paragraph">
    <w:name w:val="Heading 2"/>
    <w:basedOn w:val="Normal"/>
    <w:next w:val="TextBody"/>
    <w:uiPriority w:val="9"/>
    <w:unhideWhenUsed/>
    <w:qFormat/>
    <w:pPr>
      <w:keepNext w:val="true"/>
      <w:keepLines/>
      <w:spacing w:after="0" w:before="200"/>
      <w:outlineLvl w:val="1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  <w:sz w:val="28"/>
    </w:rPr>
  </w:style>
  <w:style w:styleId="Heading3" w:type="paragraph">
    <w:name w:val="Heading 3"/>
    <w:basedOn w:val="Normal"/>
    <w:next w:val="TextBody"/>
    <w:uiPriority w:val="9"/>
    <w:unhideWhenUsed/>
    <w:qFormat/>
    <w:pPr>
      <w:keepNext w:val="true"/>
      <w:keepLines/>
      <w:spacing w:after="0" w:before="200"/>
      <w:outlineLvl w:val="2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val="4F81BD"/>
    </w:rPr>
  </w:style>
  <w:style w:styleId="Heading4" w:type="paragraph">
    <w:name w:val="Heading 4"/>
    <w:basedOn w:val="Normal"/>
    <w:next w:val="TextBody"/>
    <w:uiPriority w:val="9"/>
    <w:unhideWhenUsed/>
    <w:qFormat/>
    <w:pPr>
      <w:keepNext w:val="true"/>
      <w:keepLines/>
      <w:spacing w:after="0" w:before="200"/>
      <w:outlineLvl w:val="3"/>
    </w:pPr>
    <w:rPr>
      <w:rFonts w:ascii="Calibri" w:asciiTheme="majorHAnsi" w:hAnsi="Calibri" w:hAnsiTheme="majorHAnsi" w:cs="" w:cstheme="majorBidi" w:eastAsia="ＭＳ ゴシック" w:eastAsiaTheme="majorEastAsia"/>
      <w:i/>
      <w:color w:themeColor="accent1" w:val="4F81BD"/>
    </w:rPr>
  </w:style>
  <w:style w:styleId="Heading5" w:type="paragraph">
    <w:name w:val="Heading 5"/>
    <w:basedOn w:val="Normal"/>
    <w:next w:val="TextBody"/>
    <w:uiPriority w:val="9"/>
    <w:unhideWhenUsed/>
    <w:qFormat/>
    <w:pPr>
      <w:keepNext w:val="true"/>
      <w:keepLines/>
      <w:spacing w:after="0" w:before="200"/>
      <w:outlineLvl w:val="4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6" w:type="paragraph">
    <w:name w:val="Heading 6"/>
    <w:basedOn w:val="Normal"/>
    <w:next w:val="TextBody"/>
    <w:uiPriority w:val="9"/>
    <w:unhideWhenUsed/>
    <w:qFormat/>
    <w:pPr>
      <w:keepNext w:val="true"/>
      <w:keepLines/>
      <w:spacing w:after="0" w:before="200"/>
      <w:outlineLvl w:val="5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7" w:type="paragraph">
    <w:name w:val="Heading 7"/>
    <w:basedOn w:val="Normal"/>
    <w:next w:val="TextBody"/>
    <w:uiPriority w:val="9"/>
    <w:unhideWhenUsed/>
    <w:qFormat/>
    <w:pPr>
      <w:keepNext w:val="true"/>
      <w:keepLines/>
      <w:spacing w:after="0" w:before="200"/>
      <w:outlineLvl w:val="6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8" w:type="paragraph">
    <w:name w:val="Heading 8"/>
    <w:basedOn w:val="Normal"/>
    <w:next w:val="TextBody"/>
    <w:uiPriority w:val="9"/>
    <w:unhideWhenUsed/>
    <w:qFormat/>
    <w:pPr>
      <w:keepNext w:val="true"/>
      <w:keepLines/>
      <w:spacing w:after="0" w:before="200"/>
      <w:outlineLvl w:val="7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styleId="Heading9" w:type="paragraph">
    <w:name w:val="Heading 9"/>
    <w:basedOn w:val="Normal"/>
    <w:next w:val="TextBody"/>
    <w:uiPriority w:val="9"/>
    <w:unhideWhenUsed/>
    <w:qFormat/>
    <w:pPr>
      <w:keepNext w:val="true"/>
      <w:keepLines/>
      <w:spacing w:after="0" w:before="200"/>
      <w:outlineLvl w:val="8"/>
    </w:pPr>
    <w:rPr>
      <w:rFonts w:ascii="Calibri" w:asciiTheme="majorHAnsi" w:hAnsi="Calibri" w:hAnsiTheme="majorHAnsi" w:cs="" w:cstheme="majorBidi" w:eastAsia="ＭＳ ゴシック" w:eastAsiaTheme="majorEastAsia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  <w:qFormat/>
  </w:style>
  <w:style w:customStyle="1" w:styleId="CaptionChar" w:type="character">
    <w:name w:val="Caption Char"/>
    <w:basedOn w:val="DefaultParagraphFont"/>
    <w:link w:val="Caption"/>
    <w:qFormat/>
  </w:style>
  <w:style w:customStyle="1" w:styleId="VerbatimChar" w:type="character">
    <w:name w:val="Verbatim Char"/>
    <w:basedOn w:val="CaptionChar"/>
    <w:qFormat/>
    <w:rPr>
      <w:rFonts w:ascii="Consolas" w:hAnsi="Consolas"/>
      <w:sz w:val="22"/>
    </w:rPr>
  </w:style>
  <w:style w:styleId="FootnoteCharacters" w:type="character">
    <w:name w:val="Footnote Characters"/>
    <w:basedOn w:val="CaptionChar"/>
    <w:qFormat/>
    <w:rPr>
      <w:vertAlign w:val="superscript"/>
    </w:rPr>
  </w:style>
  <w:style w:styleId="FootnoteAnchor" w:type="character">
    <w:name w:val="Footnote Anchor"/>
    <w:rPr>
      <w:vertAlign w:val="superscript"/>
    </w:rPr>
  </w:style>
  <w:style w:styleId="InternetLink" w:type="character">
    <w:name w:val="Hyperlink"/>
    <w:basedOn w:val="CaptionChar"/>
    <w:rPr>
      <w:color w:themeColor="accent1" w:val="4F81BD"/>
    </w:rPr>
  </w:style>
  <w:style w:customStyle="1" w:styleId="HeaderChar" w:type="character">
    <w:name w:val="Header Char"/>
    <w:basedOn w:val="DefaultParagraphFont"/>
    <w:link w:val="Header"/>
    <w:qFormat/>
    <w:rsid w:val="00cb1f69"/>
  </w:style>
  <w:style w:customStyle="1" w:styleId="FooterChar" w:type="character">
    <w:name w:val="Footer Char"/>
    <w:basedOn w:val="DefaultParagraphFont"/>
    <w:link w:val="Footer"/>
    <w:qFormat/>
    <w:rsid w:val="00cb1f69"/>
  </w:style>
  <w:style w:styleId="UnresolvedMention" w:type="character">
    <w:name w:val="Unresolved Mention"/>
    <w:basedOn w:val="DefaultParagraphFont"/>
    <w:uiPriority w:val="99"/>
    <w:semiHidden/>
    <w:unhideWhenUsed/>
    <w:qFormat/>
    <w:rsid w:val="00cb1f69"/>
    <w:rPr>
      <w:color w:val="605E5C"/>
      <w:shd w:fill="E1DFDD" w:val="clear"/>
    </w:rPr>
  </w:style>
  <w:style w:styleId="EndnoteAnchor" w:type="character">
    <w:name w:val="Endnote Anchor"/>
    <w:rPr>
      <w:vertAlign w:val="superscript"/>
    </w:rPr>
  </w:style>
  <w:style w:styleId="EndnoteCharacters" w:type="character">
    <w:name w:val="Endnote Characters"/>
    <w:qFormat/>
  </w:style>
  <w:style w:styleId="Heading" w:type="paragraph">
    <w:name w:val="Heading"/>
    <w:basedOn w:val="Normal"/>
    <w:next w:val="TextBody"/>
    <w:qFormat/>
    <w:pPr>
      <w:keepNext w:val="true"/>
      <w:spacing w:after="120" w:before="240"/>
    </w:pPr>
    <w:rPr>
      <w:rFonts w:ascii="Liberation Sans" w:hAnsi="Liberation Sans" w:cs="Arial Unicode MS" w:eastAsia="PingFang SC"/>
      <w:sz w:val="28"/>
    </w:rPr>
  </w:style>
  <w:style w:styleId="TextBody" w:type="paragraph">
    <w:name w:val="Body Text"/>
    <w:basedOn w:val="Normal"/>
    <w:qFormat/>
    <w:pPr>
      <w:spacing w:after="180" w:before="180"/>
    </w:pPr>
  </w:style>
  <w:style w:styleId="List" w:type="paragraph">
    <w:name w:val="List"/>
    <w:basedOn w:val="TextBody"/>
    <w:rPr>
      <w:rFonts w:cs="Arial Unicode MS"/>
    </w:rPr>
  </w:style>
  <w:style w:styleId="Caption" w:type="paragraph">
    <w:name w:val="Caption"/>
    <w:basedOn w:val="Normal"/>
    <w:qFormat/>
    <w:pPr>
      <w:suppressLineNumbers/>
      <w:spacing w:after="120" w:before="120"/>
    </w:pPr>
    <w:rPr>
      <w:rFonts w:cs="Arial Unicode MS"/>
      <w:i/>
      <w:sz w:val="24"/>
    </w:rPr>
  </w:style>
  <w:style w:styleId="Index" w:type="paragraph">
    <w:name w:val="Index"/>
    <w:basedOn w:val="Normal"/>
    <w:qFormat/>
    <w:pPr>
      <w:suppressLineNumbers/>
    </w:pPr>
    <w:rPr>
      <w:rFonts w:cs="Arial Unicode MS"/>
    </w:rPr>
  </w:style>
  <w:style w:customStyle="1" w:styleId="FirstParagraph" w:type="paragraph">
    <w:name w:val="First Paragraph"/>
    <w:basedOn w:val="TextBody"/>
    <w:next w:val="TextBody"/>
    <w:qFormat/>
  </w:style>
  <w:style w:customStyle="1" w:styleId="Compact" w:type="paragraph">
    <w:name w:val="Compact"/>
    <w:basedOn w:val="TextBody"/>
    <w:qFormat/>
    <w:pPr>
      <w:spacing w:after="36" w:before="36"/>
    </w:pPr>
  </w:style>
  <w:style w:styleId="Title" w:type="paragraph">
    <w:name w:val="Title"/>
    <w:basedOn w:val="Normal"/>
    <w:next w:val="TextBody"/>
    <w:qFormat/>
    <w:pPr>
      <w:keepNext w:val="true"/>
      <w:keepLines/>
      <w:spacing w:after="240" w:before="480"/>
      <w:jc w:val="center"/>
    </w:pPr>
    <w:rPr>
      <w:rFonts w:ascii="Calibri" w:asciiTheme="majorHAnsi" w:hAnsi="Calibri" w:hAnsiTheme="majorHAnsi" w:cs="" w:cstheme="majorBidi" w:eastAsia="ＭＳ ゴシック" w:eastAsiaTheme="majorEastAsia"/>
      <w:b/>
      <w:color w:themeColor="accent1" w:themeShade="b5" w:val="345A8A"/>
      <w:sz w:val="36"/>
    </w:rPr>
  </w:style>
  <w:style w:styleId="Subtitle" w:type="paragraph">
    <w:name w:val="Subtitle"/>
    <w:basedOn w:val="Title"/>
    <w:next w:val="TextBody"/>
    <w:qFormat/>
    <w:pPr>
      <w:spacing w:after="240" w:before="240"/>
    </w:pPr>
    <w:rPr>
      <w:sz w:val="30"/>
    </w:rPr>
  </w:style>
  <w:style w:customStyle="1" w:styleId="Author" w:type="paragraph">
    <w:name w:val="Author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styleId="Date" w:type="paragraph">
    <w:name w:val="Date"/>
    <w:next w:val="TextBody"/>
    <w:qFormat/>
    <w:pPr>
      <w:keepNext w:val="true"/>
      <w:keepLines/>
      <w:widowControl/>
      <w:spacing w:after="200" w:before="0"/>
      <w:jc w:val="center"/>
    </w:pPr>
    <w:rPr>
      <w:rFonts w:ascii="Cambria" w:asciiTheme="minorHAnsi" w:hAnsi="Cambria" w:hAnsiTheme="minorHAnsi" w:cs="" w:cstheme="minorBidi" w:eastAsia="Cambria" w:eastAsiaTheme="minorHAnsi"/>
      <w:color w:val="auto"/>
      <w:kern w:val="0"/>
      <w:sz w:val="24"/>
    </w:rPr>
  </w:style>
  <w:style w:customStyle="1" w:styleId="Abstract" w:type="paragraph">
    <w:name w:val="Abstract"/>
    <w:basedOn w:val="Normal"/>
    <w:next w:val="TextBody"/>
    <w:qFormat/>
    <w:pPr>
      <w:keepNext w:val="true"/>
      <w:keepLines/>
      <w:spacing w:after="300" w:before="300"/>
    </w:pPr>
    <w:rPr>
      <w:sz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TextBody"/>
    <w:next w:val="TextBody"/>
    <w:uiPriority w:val="9"/>
    <w:unhideWhenUsed/>
    <w:qFormat/>
    <w:pPr>
      <w:spacing w:after="100" w:before="100"/>
      <w:ind w:hanging="0" w:left="480" w:right="480"/>
    </w:pPr>
  </w:style>
  <w:style w:styleId="Footnote" w:type="paragraph">
    <w:name w:val="Footnote Text"/>
    <w:basedOn w:val="Normal"/>
    <w:uiPriority w:val="9"/>
    <w:unhideWhenUsed/>
    <w:qFormat/>
  </w:style>
  <w:style w:customStyle="1" w:styleId="DefinitionTerm" w:type="paragraph">
    <w:name w:val="Definition Term"/>
    <w:basedOn w:val="Normal"/>
    <w:next w:val="Definition"/>
    <w:qFormat/>
    <w:pPr>
      <w:keepNext w:val="true"/>
      <w:keepLines/>
      <w:spacing w:after="0" w:before="0"/>
    </w:pPr>
    <w:rPr>
      <w:b/>
    </w:rPr>
  </w:style>
  <w:style w:customStyle="1" w:styleId="Definition" w:type="paragraph">
    <w:name w:val="Definition"/>
    <w:basedOn w:val="Normal"/>
    <w:qFormat/>
  </w:style>
  <w:style w:styleId="Caption1" w:type="paragraph">
    <w:name w:val="caption"/>
    <w:basedOn w:val="Normal"/>
    <w:link w:val="CaptionChar"/>
    <w:qFormat/>
    <w:pPr>
      <w:spacing w:after="120" w:before="0"/>
    </w:pPr>
    <w:rPr>
      <w:i/>
    </w:rPr>
  </w:style>
  <w:style w:customStyle="1" w:styleId="TableCaption" w:type="paragraph">
    <w:name w:val="Table Caption"/>
    <w:basedOn w:val="Caption1"/>
    <w:qFormat/>
    <w:pPr>
      <w:keepNext w:val="true"/>
    </w:pPr>
  </w:style>
  <w:style w:customStyle="1" w:styleId="ImageCaption" w:type="paragraph">
    <w:name w:val="Image Caption"/>
    <w:basedOn w:val="Caption1"/>
    <w:qFormat/>
  </w:style>
  <w:style w:customStyle="1" w:styleId="Figure" w:type="paragraph">
    <w:name w:val="Figure"/>
    <w:basedOn w:val="Normal"/>
    <w:qFormat/>
  </w:style>
  <w:style w:customStyle="1" w:styleId="CaptionedFigure" w:type="paragraph">
    <w:name w:val="Captioned Figure"/>
    <w:basedOn w:val="Figure"/>
    <w:qFormat/>
    <w:pPr>
      <w:keepNext w:val="true"/>
    </w:pPr>
  </w:style>
  <w:style w:styleId="TOCHeading" w:type="paragraph">
    <w:name w:val="TOC Heading"/>
    <w:basedOn w:val="Heading1"/>
    <w:next w:val="TextBody"/>
    <w:uiPriority w:val="39"/>
    <w:unhideWhenUsed/>
    <w:qFormat/>
    <w:pPr>
      <w:spacing w:after="0" w:before="240" w:line="259" w:lineRule="auto"/>
    </w:pPr>
    <w:rPr>
      <w:b w:val="false"/>
      <w:color w:themeColor="accent1" w:themeShade="bf" w:val="365F91"/>
    </w:rPr>
  </w:style>
  <w:style w:styleId="HeaderandFooter" w:type="paragraph">
    <w:name w:val="Header and Footer"/>
    <w:basedOn w:val="Normal"/>
    <w:qFormat/>
  </w:style>
  <w:style w:styleId="Header" w:type="paragraph">
    <w:name w:val="Header"/>
    <w:basedOn w:val="Normal"/>
    <w:link w:val="Head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Footer" w:type="paragraph">
    <w:name w:val="Footer"/>
    <w:basedOn w:val="Normal"/>
    <w:link w:val="FooterChar"/>
    <w:unhideWhenUsed/>
    <w:rsid w:val="00cb1f69"/>
    <w:pPr>
      <w:tabs>
        <w:tab w:pos="720" w:val="clear"/>
        <w:tab w:leader="none" w:pos="4680" w:val="center"/>
        <w:tab w:leader="none" w:pos="9360" w:val="right"/>
      </w:tabs>
      <w:spacing w:after="0" w:before="0"/>
    </w:pPr>
  </w:style>
  <w:style w:styleId="Heading9Grey" w:type="paragraph">
    <w:name w:val="Heading9Grey"/>
    <w:basedOn w:val="Heading9"/>
    <w:qFormat/>
    <w:pPr>
      <w:shd w:fill="DDDDDD" w:val="clear"/>
      <w:spacing w:after="200" w:before="0"/>
    </w:pPr>
  </w:style>
  <w:style w:styleId="Heading1Grey" w:type="paragraph">
    <w:name w:val="Heading1Grey"/>
    <w:basedOn w:val="Heading1"/>
    <w:qFormat/>
    <w:pPr>
      <w:shd w:fill="DDDDDD" w:val="clear"/>
    </w:pPr>
  </w:style>
  <w:style w:styleId="Heading2Grey" w:type="paragraph">
    <w:name w:val="Heading2Grey"/>
    <w:basedOn w:val="Heading2"/>
    <w:qFormat/>
    <w:pPr>
      <w:shd w:fill="DDDDDD" w:val="clear"/>
    </w:pPr>
  </w:style>
  <w:style w:styleId="Heading3Grey" w:type="paragraph">
    <w:name w:val="Heading3Grey"/>
    <w:basedOn w:val="Heading3"/>
    <w:qFormat/>
    <w:pPr>
      <w:shd w:fill="DDDDDD" w:val="clear"/>
    </w:pPr>
  </w:style>
  <w:style w:styleId="Heading4Grey" w:type="paragraph">
    <w:name w:val="Heading4Grey"/>
    <w:basedOn w:val="Heading4"/>
    <w:qFormat/>
    <w:pPr>
      <w:shd w:fill="DDDDDD" w:val="clear"/>
    </w:pPr>
  </w:style>
  <w:style w:styleId="Heading5Grey" w:type="paragraph">
    <w:name w:val="Heading5Grey"/>
    <w:basedOn w:val="Heading5"/>
    <w:qFormat/>
    <w:pPr>
      <w:shd w:fill="DDDDDD" w:val="clear"/>
    </w:pPr>
  </w:style>
  <w:style w:styleId="Heading6Grey" w:type="paragraph">
    <w:name w:val="Heading6Grey"/>
    <w:basedOn w:val="Heading6"/>
    <w:qFormat/>
    <w:pPr>
      <w:shd w:fill="DDDDDD" w:val="clear"/>
    </w:pPr>
  </w:style>
  <w:style w:styleId="Heading7Grey" w:type="paragraph">
    <w:name w:val="Heading7Grey"/>
    <w:basedOn w:val="Heading7"/>
    <w:qFormat/>
    <w:pPr>
      <w:shd w:fill="DDDDDD" w:val="clear"/>
    </w:pPr>
  </w:style>
  <w:style w:styleId="Heading8Grey" w:type="paragraph">
    <w:name w:val="Heading8Grey"/>
    <w:basedOn w:val="Heading8"/>
    <w:qFormat/>
    <w:pPr>
      <w:shd w:fill="DDDDDD" w:val="clear"/>
    </w:pPr>
  </w:style>
  <w:style w:styleId="NoteExampleGrey" w:type="paragraph">
    <w:name w:val="NoteExampleGrey"/>
    <w:basedOn w:val="Normal"/>
    <w:qFormat/>
    <w:pPr>
      <w:shd w:fill="DDDDDD" w:val="clear"/>
    </w:pPr>
  </w:style>
  <w:style w:styleId="SmallWhiteGap" w:type="paragraph">
    <w:name w:val="SmallWhiteGap"/>
    <w:basedOn w:val="TextBody"/>
    <w:next w:val="TextBody"/>
    <w:qFormat/>
    <w:pPr>
      <w:spacing w:after="181" w:before="181"/>
    </w:pPr>
    <w:rPr>
      <w:sz w:val="10"/>
    </w:rPr>
  </w:style>
  <w:style w:default="1" w:styleId="NoList" w:type="numbering">
    <w:name w:val="No List"/>
    <w:uiPriority w:val="99"/>
    <w:semiHidden/>
    <w:unhideWhenUsed/>
    <w:qFormat/>
  </w:style>
  <w:style w:default="1" w:styleId="TableNormal" w:type="table">
    <w:name w:val="Normal Table"/>
    <w:uiPriority w:val="99"/>
    <w:semiHidden/>
    <w:unhideWhenUsed/>
    <w:tblPr>
      <w:tblCellMar>
        <w:top w:type="dxa" w:w="0"/>
        <w:left w:type="dxa" w:w="108"/>
        <w:bottom w:type="dxa" w:w="0"/>
        <w:right w:type="dxa" w:w="108"/>
      </w:tblCellMar>
    </w:tblPr>
  </w:style>
  <w:style w:customStyle="1" w:styleId="Table" w:type="table">
    <w:name w:val="Table"/>
    <w:semiHidden/>
    <w:unhideWhenUsed/>
    <w:qFormat/>
    <w:rsid w:val="000c6fc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9D9D9" w:themeFill="background1" w:themeFillShade="d9" w:val="clear"/>
    </w:tc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1.xml" Type="http://schemas.openxmlformats.org/officeDocument/2006/relationships/footer" />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s://openstax.org/" TargetMode="External"/>
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Application>LibreOffice/7.0.0.3$MacOSX_X86_64 LibreOffice_project/8061b3e9204bef6b321a21033174034a5e2ea88e</Application>
  <Pages>2</Pages>
  <Words>69</Words>
  <Characters>452</Characters>
  <CharactersWithSpaces>561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2025-01-24T22:28:31Z</dcterms:created>
  <dcterms:modified xsi:type="dcterms:W3CDTF">2025-01-24T22:28:31Z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