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4.so" ContentType="application/octet-stream"/>
  <Override PartName="/word/media/rId53.so" ContentType="application/octet-stream"/>
  <Override PartName="/word/media/rId66.so" ContentType="application/octet-stream"/>
  <Override PartName="/word/media/rId36.so" ContentType="application/octet-stream"/>
  <Override PartName="/word/media/rId62.so" ContentType="application/octet-stream"/>
  <Override PartName="/word/media/rId24.so" ContentType="application/octet-stream"/>
  <Override PartName="/word/media/rId78.so" ContentType="application/octet-stream"/>
  <Override PartName="/word/media/rId28.so" ContentType="application/octet-stream"/>
  <Override PartName="/word/media/rId84.so" ContentType="application/octet-stream"/>
  <Override PartName="/word/media/rId88.so" ContentType="application/octet-stream"/>
  <Override PartName="/word/media/rId44.so" ContentType="application/octet-stream"/>
  <Override PartName="/word/media/rId70.so" ContentType="application/octet-stream"/>
  <Override PartName="/word/media/rId58.so" ContentType="application/octet-stream"/>
  <Override PartName="/word/media/rId3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746a17439348eda9211e19617650bf2130ee36c"/>
    <w:bookmarkStart w:id="98" w:name="X173f34defd130055ad27abbcc9a2b98976c89d2"/>
    <w:p>
      <w:pPr>
        <w:pStyle w:val="Heading2"/>
      </w:pPr>
      <w:r>
        <w:t xml:space="preserve">15.3</w:t>
      </w:r>
      <w:r>
        <w:t xml:space="preserve"> </w:t>
      </w:r>
      <w:r>
        <w:t xml:space="preserve"> </w:t>
      </w:r>
      <w:r>
        <w:t xml:space="preserve"> </w:t>
      </w:r>
      <w:r>
        <w:t xml:space="preserve">Coupled Equilibria</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examples of systems involving two (or more) coupled chemical equilibria</w:t>
      </w:r>
    </w:p>
    <w:p>
      <w:pPr>
        <w:numPr>
          <w:ilvl w:val="0"/>
          <w:numId w:val="1001"/>
        </w:numPr>
        <w:pStyle w:val="Compact"/>
      </w:pPr>
      <w:r>
        <w:t xml:space="preserve">Calculate reactant and product concentrations for coupled equilibrium systems</w:t>
      </w:r>
    </w:p>
    <w:bookmarkEnd w:id="20"/>
    <w:p>
      <w:pPr>
        <w:pStyle w:val="FirstParagraph"/>
      </w:pPr>
      <w:r>
        <w:t xml:space="preserve">As discussed in preceding chapters on equilibrium,</w:t>
      </w:r>
      <w:r>
        <w:t xml:space="preserve"> </w:t>
      </w:r>
      <w:r>
        <w:rPr>
          <w:iCs/>
          <w:i/>
        </w:rPr>
        <w:t xml:space="preserve">coupled equilibria</w:t>
      </w:r>
      <w:r>
        <w:t xml:space="preserve"> </w:t>
      </w:r>
      <w:r>
        <w:t xml:space="preserve">involve two or more separate chemical reactions that share one or more reactants or products. This section of this chapter will address solubility equilibria coupled with acid-base and complex-formation reactions.</w:t>
      </w:r>
    </w:p>
    <w:p>
      <w:pPr>
        <w:pStyle w:val="TextBody"/>
      </w:pPr>
      <w:r>
        <w:t xml:space="preserve">An environmentally relevant example illustrating the coupling of solubility and acid-base equilibria is the impact of ocean acidification on the health of the ocean’s coral reefs. These reefs are built upon skeletons of sparingly soluble calcium carbonate excreted by colonies of corals (small marine invertebrates). The relevant dissolution equilibrium is</w:t>
      </w:r>
    </w:p>
    <w:bookmarkStart w:id="21" w:name="fs-idp15122656"/>
    <w:p>
      <w:pPr>
        <w:pStyle w:val="TextBody"/>
      </w:pPr>
      <m:oMath>
        <m:sSub>
          <m:e>
            <m:r>
              <m:rPr>
                <m:nor/>
                <m:sty m:val="p"/>
              </m:rPr>
              <m:t>CaCO</m:t>
            </m:r>
          </m:e>
          <m:sub>
            <m:r>
              <m:t>3</m:t>
            </m:r>
          </m:sub>
        </m:sSub>
        <m:d>
          <m:dPr>
            <m:begChr m:val="("/>
            <m:endChr m:val=")"/>
            <m:sepChr m:val=""/>
            <m:grow/>
          </m:dPr>
          <m:e>
            <m:r>
              <m:t>s</m:t>
            </m:r>
          </m:e>
        </m:d>
        <m:r>
          <m:t> </m:t>
        </m:r>
        <m:r>
          <m:rPr>
            <m:sty m:val="p"/>
          </m:rPr>
          <m:t>⇌</m:t>
        </m:r>
        <m:r>
          <m:t> </m:t>
        </m:r>
        <m:sSup>
          <m:e>
            <m:r>
              <m:rPr>
                <m:nor/>
                <m:sty m:val="p"/>
              </m:rPr>
              <m:t>Ca</m:t>
            </m:r>
          </m:e>
          <m:sup>
            <m:r>
              <m:t>2</m:t>
            </m:r>
            <m:r>
              <m:rPr>
                <m:sty m:val="p"/>
              </m:rPr>
              <m:t>+</m:t>
            </m:r>
          </m:sup>
        </m:sSup>
        <m:d>
          <m:dPr>
            <m:begChr m:val="("/>
            <m:endChr m:val=")"/>
            <m:sepChr m:val=""/>
            <m:grow/>
          </m:dPr>
          <m:e>
            <m:r>
              <m:t>a</m:t>
            </m:r>
            <m:r>
              <m:t>q</m:t>
            </m:r>
          </m:e>
        </m:d>
        <m:r>
          <m:t> </m:t>
        </m:r>
        <m:r>
          <m:rPr>
            <m:sty m:val="p"/>
          </m:rPr>
          <m:t>+</m:t>
        </m:r>
        <m:r>
          <m:t> </m:t>
        </m:r>
        <m:sSub>
          <m:e>
            <m:r>
              <m:rPr>
                <m:nor/>
                <m:sty m:val="p"/>
              </m:rPr>
              <m:t>CO</m:t>
            </m:r>
          </m:e>
          <m:sub>
            <m:r>
              <m:t>3</m:t>
            </m:r>
          </m:sub>
        </m:sSub>
        <m:sSup>
          <m:e>
            <m:r>
              <m:t>​</m:t>
            </m:r>
          </m:e>
          <m:sup>
            <m:r>
              <m:rPr>
                <m:sty m:val="p"/>
              </m:rPr>
              <m:t>−</m:t>
            </m:r>
            <m:r>
              <m:t>2</m:t>
            </m:r>
            <m:r>
              <m:t> </m:t>
            </m:r>
          </m:sup>
        </m:sSup>
        <m:d>
          <m:dPr>
            <m:begChr m:val="("/>
            <m:endChr m:val=")"/>
            <m:sepChr m:val=""/>
            <m:grow/>
          </m:dPr>
          <m:e>
            <m:r>
              <m:t>a</m:t>
            </m:r>
            <m:r>
              <m:t>q</m:t>
            </m:r>
          </m:e>
        </m:d>
        <m:r>
          <m:t>  </m:t>
        </m:r>
        <m:sSub>
          <m:e>
            <m:r>
              <m:t>K</m:t>
            </m:r>
          </m:e>
          <m:sub>
            <m:r>
              <m:rPr>
                <m:nor/>
                <m:sty m:val="p"/>
              </m:rPr>
              <m:t>sp</m:t>
            </m:r>
          </m:sub>
        </m:sSub>
        <m:r>
          <m:t> </m:t>
        </m:r>
        <m:r>
          <m:rPr>
            <m:sty m:val="p"/>
          </m:rPr>
          <m:t>=</m:t>
        </m:r>
        <m:r>
          <m:t> </m:t>
        </m:r>
        <m:r>
          <m:t>8.7</m:t>
        </m:r>
        <m:r>
          <m:t> </m:t>
        </m:r>
        <m:r>
          <m:rPr>
            <m:sty m:val="p"/>
          </m:rPr>
          <m:t>×</m:t>
        </m:r>
        <m:r>
          <m:t> </m:t>
        </m:r>
        <m:sSup>
          <m:e>
            <m:r>
              <m:t>10</m:t>
            </m:r>
          </m:e>
          <m:sup>
            <m:r>
              <m:rPr>
                <m:sty m:val="p"/>
              </m:rPr>
              <m:t>−</m:t>
            </m:r>
            <m:r>
              <m:t>9</m:t>
            </m:r>
          </m:sup>
        </m:sSup>
      </m:oMath>
    </w:p>
    <w:bookmarkEnd w:id="21"/>
    <w:p>
      <w:pPr>
        <w:pStyle w:val="TextBody"/>
      </w:pPr>
      <w:r>
        <w:t xml:space="preserve">Rising concentrations of atmospheric carbon dioxide contribute to an increased acidity of ocean waters due to the dissolution, hydrolysis, and acid ionization of carbon dioxide:</w:t>
      </w:r>
    </w:p>
    <w:bookmarkStart w:id="22" w:name="fs-idp11178176"/>
    <w:p>
      <w:pPr>
        <w:pStyle w:val="TextBody"/>
      </w:pPr>
      <m:oMath>
        <m:sSub>
          <m:e>
            <m:r>
              <m:rPr>
                <m:nor/>
                <m:sty m:val="p"/>
              </m:rPr>
              <m:t>CO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a</m:t>
            </m:r>
            <m:r>
              <m:t>q</m:t>
            </m:r>
          </m:e>
        </m:d>
      </m:oMath>
    </w:p>
    <w:bookmarkEnd w:id="22"/>
    <w:bookmarkStart w:id="23" w:name="fs-idp7072"/>
    <w:p>
      <w:pPr>
        <w:pStyle w:val="TextBody"/>
      </w:pPr>
      <m:oMath>
        <m:sSub>
          <m:e>
            <m:r>
              <m:rPr>
                <m:nor/>
                <m:sty m:val="p"/>
              </m:rPr>
              <m:t>CO</m:t>
            </m:r>
          </m:e>
          <m:sub>
            <m:r>
              <m:t>2</m:t>
            </m:r>
          </m:sub>
        </m:sSub>
        <m:d>
          <m:dPr>
            <m:begChr m:val="("/>
            <m:endChr m:val=")"/>
            <m:sepChr m:val=""/>
            <m:grow/>
          </m:dPr>
          <m:e>
            <m:r>
              <m:t>a</m:t>
            </m:r>
            <m:r>
              <m:t>q</m:t>
            </m:r>
          </m:e>
        </m:d>
        <m:r>
          <m:t> </m:t>
        </m:r>
        <m:r>
          <m:rPr>
            <m:sty m:val="p"/>
          </m:rPr>
          <m:t>+</m:t>
        </m:r>
        <m:r>
          <m:t> </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sSub>
          <m:e>
            <m:r>
              <m:rPr>
                <m:nor/>
                <m:sty m:val="p"/>
              </m:rPr>
              <m:t>CO</m:t>
            </m:r>
          </m:e>
          <m:sub>
            <m:r>
              <m:t>3</m:t>
            </m:r>
          </m:sub>
        </m:sSub>
        <m:d>
          <m:dPr>
            <m:begChr m:val="("/>
            <m:endChr m:val=")"/>
            <m:sepChr m:val=""/>
            <m:grow/>
          </m:dPr>
          <m:e>
            <m:r>
              <m:t>a</m:t>
            </m:r>
            <m:r>
              <m:t>q</m:t>
            </m:r>
          </m:e>
        </m:d>
      </m:oMath>
    </w:p>
    <w:bookmarkEnd w:id="23"/>
    <w:bookmarkStart w:id="27" w:name="fs-idm331440"/>
    <w:p>
      <w:pPr>
        <w:pStyle w:val="TextBody"/>
      </w:pPr>
      <w:r>
        <w:drawing>
          <wp:inline>
            <wp:extent cx="4924425" cy="161925"/>
            <wp:effectExtent b="0" l="0" r="0" t="0"/>
            <wp:docPr descr="None" title="" id="25" name="Picture"/>
            <a:graphic>
              <a:graphicData uri="http://schemas.openxmlformats.org/drawingml/2006/picture">
                <pic:pic>
                  <pic:nvPicPr>
                    <pic:cNvPr descr="../resources/41e8739ae9a2eba587b6da8c960e458ddb41ca34" id="26" name="Picture"/>
                    <pic:cNvPicPr>
                      <a:picLocks noChangeArrowheads="1" noChangeAspect="1"/>
                    </pic:cNvPicPr>
                  </pic:nvPicPr>
                  <pic:blipFill>
                    <a:blip r:embed="rId24"/>
                    <a:stretch>
                      <a:fillRect/>
                    </a:stretch>
                  </pic:blipFill>
                  <pic:spPr bwMode="auto">
                    <a:xfrm>
                      <a:off x="0" y="0"/>
                      <a:ext cx="4924425" cy="161925"/>
                    </a:xfrm>
                    <a:prstGeom prst="rect">
                      <a:avLst/>
                    </a:prstGeom>
                    <a:noFill/>
                    <a:ln w="9525">
                      <a:noFill/>
                      <a:headEnd/>
                      <a:tailEnd/>
                    </a:ln>
                  </pic:spPr>
                </pic:pic>
              </a:graphicData>
            </a:graphic>
          </wp:inline>
        </w:drawing>
      </w:r>
    </w:p>
    <w:bookmarkEnd w:id="27"/>
    <w:bookmarkStart w:id="31" w:name="fs-idm357967056"/>
    <w:p>
      <w:pPr>
        <w:pStyle w:val="TextBody"/>
      </w:pPr>
      <w:r>
        <w:drawing>
          <wp:inline>
            <wp:extent cx="4943475" cy="161925"/>
            <wp:effectExtent b="0" l="0" r="0" t="0"/>
            <wp:docPr descr="None" title="" id="29" name="Picture"/>
            <a:graphic>
              <a:graphicData uri="http://schemas.openxmlformats.org/drawingml/2006/picture">
                <pic:pic>
                  <pic:nvPicPr>
                    <pic:cNvPr descr="../resources/6f84eb5abc57469439ce036a02757438cc491154" id="30" name="Picture"/>
                    <pic:cNvPicPr>
                      <a:picLocks noChangeArrowheads="1" noChangeAspect="1"/>
                    </pic:cNvPicPr>
                  </pic:nvPicPr>
                  <pic:blipFill>
                    <a:blip r:embed="rId28"/>
                    <a:stretch>
                      <a:fillRect/>
                    </a:stretch>
                  </pic:blipFill>
                  <pic:spPr bwMode="auto">
                    <a:xfrm>
                      <a:off x="0" y="0"/>
                      <a:ext cx="4943475" cy="161925"/>
                    </a:xfrm>
                    <a:prstGeom prst="rect">
                      <a:avLst/>
                    </a:prstGeom>
                    <a:noFill/>
                    <a:ln w="9525">
                      <a:noFill/>
                      <a:headEnd/>
                      <a:tailEnd/>
                    </a:ln>
                  </pic:spPr>
                </pic:pic>
              </a:graphicData>
            </a:graphic>
          </wp:inline>
        </w:drawing>
      </w:r>
    </w:p>
    <w:bookmarkEnd w:id="31"/>
    <w:p>
      <w:pPr>
        <w:pStyle w:val="TextBody"/>
      </w:pPr>
      <w:r>
        <w:t xml:space="preserve">Inspection of these equilibria shows the carbonate ion is involved in the calcium carbonate dissolution and the acid hydrolysis of bicarbonate ion. Combining the dissolution equation with the reverse of the acid hydrolysis equation yields</w:t>
      </w:r>
    </w:p>
    <w:bookmarkStart w:id="35" w:name="fs-idm386291088"/>
    <w:p>
      <w:pPr>
        <w:pStyle w:val="TextBody"/>
      </w:pPr>
      <w:r>
        <w:drawing>
          <wp:inline>
            <wp:extent cx="5848350" cy="171450"/>
            <wp:effectExtent b="0" l="0" r="0" t="0"/>
            <wp:docPr descr="None" title="" id="33" name="Picture"/>
            <a:graphic>
              <a:graphicData uri="http://schemas.openxmlformats.org/drawingml/2006/picture">
                <pic:pic>
                  <pic:nvPicPr>
                    <pic:cNvPr descr="../resources/f84b0791d37cc822367f4757fbd759c930fbd377" id="34" name="Picture"/>
                    <pic:cNvPicPr>
                      <a:picLocks noChangeArrowheads="1" noChangeAspect="1"/>
                    </pic:cNvPicPr>
                  </pic:nvPicPr>
                  <pic:blipFill>
                    <a:blip r:embed="rId32"/>
                    <a:stretch>
                      <a:fillRect/>
                    </a:stretch>
                  </pic:blipFill>
                  <pic:spPr bwMode="auto">
                    <a:xfrm>
                      <a:off x="0" y="0"/>
                      <a:ext cx="5848350" cy="171450"/>
                    </a:xfrm>
                    <a:prstGeom prst="rect">
                      <a:avLst/>
                    </a:prstGeom>
                    <a:noFill/>
                    <a:ln w="9525">
                      <a:noFill/>
                      <a:headEnd/>
                      <a:tailEnd/>
                    </a:ln>
                  </pic:spPr>
                </pic:pic>
              </a:graphicData>
            </a:graphic>
          </wp:inline>
        </w:drawing>
      </w:r>
    </w:p>
    <w:bookmarkEnd w:id="35"/>
    <w:p>
      <w:pPr>
        <w:pStyle w:val="TextBody"/>
      </w:pPr>
      <w:r>
        <w:t xml:space="preserve">The equilibrium constant for this net reaction is much greater than the</w:t>
      </w:r>
      <w:r>
        <w:t xml:space="preserve"> </w:t>
      </w:r>
      <w:r>
        <w:rPr>
          <w:iCs/>
          <w:i/>
        </w:rPr>
        <w:t xml:space="preserve">K</w:t>
      </w:r>
      <w:r>
        <w:rPr>
          <w:vertAlign w:val="subscript"/>
          <w:iCs/>
          <w:i/>
        </w:rPr>
        <w:t xml:space="preserve">sp</w:t>
      </w:r>
      <w:r>
        <w:t xml:space="preserve"> </w:t>
      </w:r>
      <w:r>
        <w:t xml:space="preserve">for calcium carbonate, indicating its solubility is markedly increased in acidic solutions. As rising carbon dioxide levels in the atmosphere increase the acidity of ocean waters, the calcium carbonate skeletons of coral reefs become more prone to dissolution and subsequently less healthy (</w:t>
      </w:r>
      <w:hyperlink w:anchor="CNX_Chem_15_03_CoralReef">
        <w:r>
          <w:rPr>
            <w:rStyle w:val="InternetLink"/>
          </w:rPr>
          <w:t xml:space="preserve">Figure 15.7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9" w:name="fs-idp11078816"/>
            <w:r>
              <w:t xml:space="preserve"> </w:t>
            </w:r>
            <w:r>
              <w:drawing>
                <wp:inline>
                  <wp:extent cx="4457700" cy="1764792"/>
                  <wp:effectExtent b="0" l="0" r="0" t="0"/>
                  <wp:docPr descr="This figure contains two photographs of coral reefs. In a, a colorful reef that includes hues of purple and pink corals is shown in blue green water with fish swimming in the background. In b, grey-green mossy looking coral is shown in a blue aquatic environment. This photo does not have the colorful appearance or fish that were shown in figure a." title="" id="37" name="Picture"/>
                  <a:graphic>
                    <a:graphicData uri="http://schemas.openxmlformats.org/drawingml/2006/picture">
                      <pic:pic>
                        <pic:nvPicPr>
                          <pic:cNvPr descr="../resources/2f6874c702ec6857772a93c3c3ce1a273b0c3e79" id="38" name="Picture"/>
                          <pic:cNvPicPr>
                            <a:picLocks noChangeArrowheads="1" noChangeAspect="1"/>
                          </pic:cNvPicPr>
                        </pic:nvPicPr>
                        <pic:blipFill>
                          <a:blip r:embed="rId36"/>
                          <a:stretch>
                            <a:fillRect/>
                          </a:stretch>
                        </pic:blipFill>
                        <pic:spPr bwMode="auto">
                          <a:xfrm>
                            <a:off x="0" y="0"/>
                            <a:ext cx="4457700" cy="1764792"/>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15.7</w:t>
      </w:r>
      <w:r>
        <w:t xml:space="preserve"> </w:t>
      </w:r>
      <w:r>
        <w:t xml:space="preserve"> </w:t>
      </w:r>
      <w:r>
        <w:t xml:space="preserve"> </w:t>
      </w:r>
      <w:r>
        <w:t xml:space="preserve">Healthy coral reefs (a) support a dense and diverse array of sea life across the ocean food chain. But when coral are unable to adequately build and maintain their calcium carbonate skeletons because of excess ocean acidification, the unhealthy reef (b) is only capable of hosting a small fraction of the species as before, and the local food chain starts to collapse. (credit a: modification of work by NOAA Photo Library; credit b: modification of work by “prilfish”/Flickr)</w:t>
      </w:r>
    </w:p>
    <w:bookmarkStart w:id="42" w:name="fs-idm683648"/>
    <w:p>
      <w:pPr>
        <w:pStyle w:val="Heading3Grey"/>
      </w:pPr>
      <w:r>
        <w:t xml:space="preserve">Link to Learning</w:t>
      </w:r>
    </w:p>
    <w:p>
      <w:pPr>
        <w:pStyle w:val="NoteExampleGrey"/>
      </w:pPr>
      <w:r>
        <w:t xml:space="preserve">Learn more about ocean</w:t>
      </w:r>
      <w:r>
        <w:t xml:space="preserve"> </w:t>
      </w:r>
      <w:hyperlink r:id="rId40">
        <w:r>
          <w:rPr>
            <w:rStyle w:val="InternetLink"/>
          </w:rPr>
          <w:t xml:space="preserve">acidification</w:t>
        </w:r>
      </w:hyperlink>
      <w:r>
        <w:t xml:space="preserve"> </w:t>
      </w:r>
      <w:r>
        <w:t xml:space="preserve">and how it affects other marine creatures.</w:t>
      </w:r>
    </w:p>
    <w:p>
      <w:pPr>
        <w:pStyle w:val="NoteExampleGrey"/>
      </w:pPr>
      <w:r>
        <w:t xml:space="preserve">This</w:t>
      </w:r>
      <w:r>
        <w:t xml:space="preserve"> </w:t>
      </w:r>
      <w:hyperlink r:id="rId41">
        <w:r>
          <w:rPr>
            <w:rStyle w:val="InternetLink"/>
          </w:rPr>
          <w:t xml:space="preserve">site</w:t>
        </w:r>
      </w:hyperlink>
      <w:r>
        <w:t xml:space="preserve"> </w:t>
      </w:r>
      <w:r>
        <w:t xml:space="preserve">has detailed information about how ocean acidification specifically affects coral reefs.</w:t>
      </w:r>
    </w:p>
    <w:bookmarkEnd w:id="42"/>
    <w:p>
      <w:pPr>
        <w:pStyle w:val="TextBody"/>
      </w:pPr>
      <w:r>
        <w:t xml:space="preserve">The dramatic increase in solubility with increasing acidity described above for calcium carbonate is typical of salts containing basic anions (e.g., carbonate, fluoride, hydroxide, sulfide). Another familiar example is the formation of dental cavities in tooth enamel. The major mineral component of enamel is calcium hydroxyapatite (</w:t>
      </w:r>
      <w:hyperlink w:anchor="CNX_Chem_15_03_Apatite">
        <w:r>
          <w:rPr>
            <w:rStyle w:val="InternetLink"/>
          </w:rPr>
          <w:t xml:space="preserve">Figure 15.8</w:t>
        </w:r>
      </w:hyperlink>
      <w:r>
        <w:t xml:space="preserve">), a sparingly soluble ionic compound whose dissolution equilibrium is</w:t>
      </w:r>
    </w:p>
    <w:bookmarkStart w:id="43" w:name="fs-idp12952768"/>
    <w:p>
      <w:pPr>
        <w:pStyle w:val="TextBody"/>
      </w:pPr>
      <m:oMath>
        <m:sSub>
          <m:e>
            <m:r>
              <m:rPr>
                <m:nor/>
                <m:sty m:val="p"/>
              </m:rPr>
              <m:t>Ca</m:t>
            </m:r>
          </m:e>
          <m:sub>
            <m:r>
              <m:rPr>
                <m:nor/>
                <m:sty m:val="p"/>
              </m:rPr>
              <m:t>5</m:t>
            </m:r>
          </m:sub>
        </m:sSub>
        <m:r>
          <m:rPr>
            <m:sty m:val="p"/>
          </m:rPr>
          <m:t>(</m:t>
        </m:r>
        <m:sSub>
          <m:e>
            <m:r>
              <m:rPr>
                <m:nor/>
                <m:sty m:val="p"/>
              </m:rPr>
              <m:t>P</m:t>
            </m:r>
            <m:sSub>
              <m:e>
                <m:r>
                  <m:rPr>
                    <m:nor/>
                    <m:sty m:val="p"/>
                  </m:rPr>
                  <m:t>O</m:t>
                </m:r>
              </m:e>
              <m:sub>
                <m:r>
                  <m:t>4</m:t>
                </m:r>
              </m:sub>
            </m:sSub>
            <m:r>
              <m:rPr>
                <m:sty m:val="p"/>
              </m:rPr>
              <m:t>)</m:t>
            </m:r>
          </m:e>
          <m:sub>
            <m:r>
              <m:t>3</m:t>
            </m:r>
          </m:sub>
        </m:sSub>
        <m:r>
          <m:rPr>
            <m:nor/>
            <m:sty m:val="p"/>
          </m:rPr>
          <m:t>OH</m:t>
        </m:r>
        <m:d>
          <m:dPr>
            <m:begChr m:val="("/>
            <m:endChr m:val=")"/>
            <m:sepChr m:val=""/>
            <m:grow/>
          </m:dPr>
          <m:e>
            <m:r>
              <m:t>s</m:t>
            </m:r>
          </m:e>
        </m:d>
        <m:r>
          <m:t> </m:t>
        </m:r>
        <m:r>
          <m:rPr>
            <m:sty m:val="p"/>
          </m:rPr>
          <m:t>⇌</m:t>
        </m:r>
        <m:r>
          <m:t> </m:t>
        </m:r>
        <m:r>
          <m:t>5</m:t>
        </m:r>
        <m:sSup>
          <m:e>
            <m:r>
              <m:rPr>
                <m:nor/>
                <m:sty m:val="p"/>
              </m:rPr>
              <m:t>Ca</m:t>
            </m:r>
          </m:e>
          <m:sup>
            <m:r>
              <m:rPr>
                <m:nor/>
                <m:sty m:val="p"/>
              </m:rPr>
              <m:t>2+</m:t>
            </m:r>
          </m:sup>
        </m:sSup>
        <m:d>
          <m:dPr>
            <m:begChr m:val="("/>
            <m:endChr m:val=")"/>
            <m:sepChr m:val=""/>
            <m:grow/>
          </m:dPr>
          <m:e>
            <m:r>
              <m:t>a</m:t>
            </m:r>
            <m:r>
              <m:t>q</m:t>
            </m:r>
          </m:e>
        </m:d>
        <m:r>
          <m:rPr>
            <m:sty m:val="p"/>
          </m:rPr>
          <m:t>+</m:t>
        </m:r>
        <m:r>
          <m:t>3</m:t>
        </m:r>
        <m:sSub>
          <m:e>
            <m:r>
              <m:rPr>
                <m:nor/>
                <m:sty m:val="p"/>
              </m:rPr>
              <m:t>PO</m:t>
            </m:r>
          </m:e>
          <m:sub>
            <m:r>
              <m:t>4</m:t>
            </m:r>
          </m:sub>
        </m:sSub>
        <m:sSup>
          <m:e>
            <m:r>
              <m:t>​</m:t>
            </m:r>
          </m:e>
          <m:sup>
            <m:r>
              <m:rPr>
                <m:nor/>
                <m:sty m:val="p"/>
              </m:rPr>
              <m:t>3−</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43"/>
    <w:tbl>
      <w:tblPr>
        <w:tblStyle w:val="FigureTable"/>
        <w:tblW w:type="auto" w:w="0"/>
        <w:tblLook w:firstRow="0" w:lastRow="0" w:firstColumn="0" w:lastColumn="0"/>
        <w:jc w:val="center"/>
      </w:tblPr>
      <w:tblGrid>
        <w:gridCol w:w="7920"/>
      </w:tblGrid>
      <w:tr>
        <w:tc>
          <w:tcPr/>
          <w:p>
            <w:pPr>
              <w:pStyle w:val="Compact"/>
              <w:jc w:val="center"/>
            </w:pPr>
            <w:bookmarkStart w:id="47" w:name="fs-idp482016"/>
            <w:r>
              <w:t xml:space="preserve"> </w:t>
            </w:r>
            <w:r>
              <w:drawing>
                <wp:inline>
                  <wp:extent cx="2971800" cy="1751076"/>
                  <wp:effectExtent b="0" l="0" r="0" t="0"/>
                  <wp:docPr descr="This figure includes an image of two large light blue apatite crystals in a mineral conglomerate that includes white, grey, and tan crystals. The blue apatite crystals have a dull, dusty, or powdered appearance." title="" id="45" name="Picture"/>
                  <a:graphic>
                    <a:graphicData uri="http://schemas.openxmlformats.org/drawingml/2006/picture">
                      <pic:pic>
                        <pic:nvPicPr>
                          <pic:cNvPr descr="../resources/c838a07dfc77cd606f24b280d58a28739c826c5a" id="46" name="Picture"/>
                          <pic:cNvPicPr>
                            <a:picLocks noChangeArrowheads="1" noChangeAspect="1"/>
                          </pic:cNvPicPr>
                        </pic:nvPicPr>
                        <pic:blipFill>
                          <a:blip r:embed="rId44"/>
                          <a:stretch>
                            <a:fillRect/>
                          </a:stretch>
                        </pic:blipFill>
                        <pic:spPr bwMode="auto">
                          <a:xfrm>
                            <a:off x="0" y="0"/>
                            <a:ext cx="2971800" cy="1751076"/>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15.8</w:t>
      </w:r>
      <w:r>
        <w:t xml:space="preserve"> </w:t>
      </w:r>
      <w:r>
        <w:t xml:space="preserve"> </w:t>
      </w:r>
      <w:r>
        <w:t xml:space="preserve"> </w:t>
      </w:r>
      <w:r>
        <w:t xml:space="preserve">Crystal of the mineral hydroxyapatite, Ca</w:t>
      </w:r>
      <w:r>
        <w:rPr>
          <w:vertAlign w:val="subscript"/>
        </w:rPr>
        <w:t xml:space="preserve">5</w:t>
      </w:r>
      <w:r>
        <w:t xml:space="preserve">(PO</w:t>
      </w:r>
      <w:r>
        <w:rPr>
          <w:vertAlign w:val="subscript"/>
        </w:rPr>
        <w:t xml:space="preserve">4</w:t>
      </w:r>
      <w:r>
        <w:t xml:space="preserve">)</w:t>
      </w:r>
      <w:r>
        <w:rPr>
          <w:vertAlign w:val="subscript"/>
        </w:rPr>
        <w:t xml:space="preserve">3</w:t>
      </w:r>
      <w:r>
        <w:t xml:space="preserve">OH, is shown here. The pure compound is white, but like many other minerals, this sample is colored because of the presence of impurities.</w:t>
      </w:r>
    </w:p>
    <w:p>
      <w:pPr>
        <w:pStyle w:val="TextBody"/>
      </w:pPr>
      <w:r>
        <w:t xml:space="preserve">This compound dissolved to yield two different basic ions: triprotic phosphate ions</w:t>
      </w:r>
    </w:p>
    <w:bookmarkStart w:id="48" w:name="fs-idp14746208"/>
    <w:p>
      <w:pPr>
        <w:pStyle w:val="TextBody"/>
      </w:pPr>
      <m:oMath>
        <m:sSub>
          <m:e>
            <m:r>
              <m:rPr>
                <m:nor/>
                <m:sty m:val="p"/>
              </m:rPr>
              <m:t>PO</m:t>
            </m:r>
          </m:e>
          <m:sub>
            <m:r>
              <m:t>4</m:t>
            </m:r>
          </m:sub>
        </m:sSub>
        <m:sSup>
          <m:e>
            <m:r>
              <m:t>​</m:t>
            </m:r>
          </m:e>
          <m:sup>
            <m:r>
              <m:rPr>
                <m:nor/>
                <m:sty m:val="p"/>
              </m:rPr>
              <m:t>3−</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sty m:val="p"/>
              </m:rPr>
              <m:t>+</m:t>
            </m:r>
          </m:sup>
        </m:sSup>
        <m:d>
          <m:dPr>
            <m:begChr m:val="("/>
            <m:endChr m:val=")"/>
            <m:sepChr m:val=""/>
            <m:grow/>
          </m:dPr>
          <m:e>
            <m:r>
              <m:t>a</m:t>
            </m:r>
            <m:r>
              <m:t>q</m:t>
            </m:r>
          </m:e>
        </m:d>
        <m:r>
          <m:t> </m:t>
        </m:r>
        <m:r>
          <m:rPr>
            <m:sty m:val="p"/>
          </m:rPr>
          <m:t>→</m:t>
        </m:r>
        <m:r>
          <m:t> </m:t>
        </m:r>
        <m:sSub>
          <m:e>
            <m:r>
              <m:rPr>
                <m:nor/>
                <m:sty m:val="p"/>
              </m:rPr>
              <m:t>H</m:t>
            </m:r>
          </m:e>
          <m:sub>
            <m:r>
              <m:t>2</m:t>
            </m:r>
          </m:sub>
        </m:sSub>
        <m:sSub>
          <m:e>
            <m:r>
              <m:rPr>
                <m:nor/>
                <m:sty m:val="p"/>
              </m:rPr>
              <m:t>PO</m:t>
            </m:r>
          </m:e>
          <m:sub>
            <m:r>
              <m:t>4</m:t>
            </m:r>
          </m:sub>
        </m:sSub>
        <m:sSup>
          <m:e>
            <m:r>
              <m:t>​</m:t>
            </m:r>
          </m:e>
          <m:sup>
            <m:r>
              <m:rPr>
                <m:nor/>
                <m:sty m:val="p"/>
              </m:rPr>
              <m:t>2−</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48"/>
    <w:bookmarkStart w:id="49" w:name="fs-idp15108576"/>
    <w:p>
      <w:pPr>
        <w:pStyle w:val="TextBody"/>
      </w:pPr>
      <m:oMath>
        <m:sSub>
          <m:e>
            <m:r>
              <m:rPr>
                <m:nor/>
                <m:sty m:val="p"/>
              </m:rPr>
              <m:t>H</m:t>
            </m:r>
          </m:e>
          <m:sub>
            <m:r>
              <m:t>2</m:t>
            </m:r>
          </m:sub>
        </m:sSub>
        <m:sSub>
          <m:e>
            <m:r>
              <m:rPr>
                <m:nor/>
                <m:sty m:val="p"/>
              </m:rPr>
              <m:t>PO</m:t>
            </m:r>
          </m:e>
          <m:sub>
            <m:r>
              <m:t>4</m:t>
            </m:r>
          </m:sub>
        </m:sSub>
        <m:sSup>
          <m:e>
            <m:r>
              <m:t>​</m:t>
            </m:r>
          </m:e>
          <m:sup>
            <m:r>
              <m:rPr>
                <m:nor/>
                <m:sty m:val="p"/>
              </m:rPr>
              <m:t>2−</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sty m:val="p"/>
              </m:rPr>
              <m:t>+</m:t>
            </m:r>
          </m:sup>
        </m:sSup>
        <m:d>
          <m:dPr>
            <m:begChr m:val="("/>
            <m:endChr m:val=")"/>
            <m:sepChr m:val=""/>
            <m:grow/>
          </m:dPr>
          <m:e>
            <m:r>
              <m:t>a</m:t>
            </m:r>
            <m:r>
              <m:t>q</m:t>
            </m:r>
          </m:e>
        </m:d>
        <m:r>
          <m:t> </m:t>
        </m:r>
        <m:r>
          <m:rPr>
            <m:sty m:val="p"/>
          </m:rPr>
          <m:t>→</m:t>
        </m:r>
        <m:r>
          <m:t> </m:t>
        </m:r>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49"/>
    <w:bookmarkStart w:id="50" w:name="fs-idp14710208"/>
    <w:p>
      <w:pPr>
        <w:pStyle w:val="TextBody"/>
      </w:pPr>
      <m:oMath>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sty m:val="p"/>
              </m:rPr>
              <m:t>+</m:t>
            </m:r>
          </m:sup>
        </m:sSup>
        <m:d>
          <m:dPr>
            <m:begChr m:val="("/>
            <m:endChr m:val=")"/>
            <m:sepChr m:val=""/>
            <m:grow/>
          </m:dPr>
          <m:e>
            <m:r>
              <m:t>a</m:t>
            </m:r>
            <m:r>
              <m:t>q</m:t>
            </m:r>
          </m:e>
        </m:d>
        <m:r>
          <m:t> </m:t>
        </m:r>
        <m:r>
          <m:rPr>
            <m:sty m:val="p"/>
          </m:rPr>
          <m:t>→</m:t>
        </m:r>
        <m:r>
          <m:t> </m:t>
        </m:r>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50"/>
    <w:p>
      <w:pPr>
        <w:pStyle w:val="TextBody"/>
      </w:pPr>
      <w:r>
        <w:t xml:space="preserve">and monoprotic hydroxide ions:</w:t>
      </w:r>
    </w:p>
    <w:bookmarkStart w:id="51" w:name="fs-idm688976"/>
    <w:p>
      <w:pPr>
        <w:pStyle w:val="TextBody"/>
      </w:pPr>
      <m:oMath>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sty m:val="p"/>
              </m:rPr>
              <m:t>+</m:t>
            </m:r>
          </m:sup>
        </m:sSup>
        <m:r>
          <m:t> </m:t>
        </m:r>
        <m:r>
          <m:rPr>
            <m:sty m:val="p"/>
          </m:rPr>
          <m:t>→</m:t>
        </m:r>
        <m:r>
          <m:t> </m:t>
        </m:r>
        <m:r>
          <m:t>2</m:t>
        </m:r>
        <m:sSub>
          <m:e>
            <m:r>
              <m:rPr>
                <m:nor/>
                <m:sty m:val="p"/>
              </m:rPr>
              <m:t>H</m:t>
            </m:r>
          </m:e>
          <m:sub>
            <m:r>
              <m:t>2</m:t>
            </m:r>
          </m:sub>
        </m:sSub>
        <m:r>
          <m:rPr>
            <m:nor/>
            <m:sty m:val="p"/>
          </m:rPr>
          <m:t>O</m:t>
        </m:r>
      </m:oMath>
    </w:p>
    <w:bookmarkEnd w:id="51"/>
    <w:p>
      <w:pPr>
        <w:pStyle w:val="TextBody"/>
      </w:pPr>
      <w:r>
        <w:t xml:space="preserve">Of the two basic productions, the hydroxide is, of course, by far the stronger base (it’s the strongest base that can exist in aqueous solution), and so it is the dominant factor providing the compound an acid-dependent solubility. Dental cavities form when the acid waste of bacteria growing on the surface of teeth hastens the dissolution of tooth enamel by reacting completely with the strong base hydroxide, shifting the hydroxyapatite solubility equilibrium to the right. Some toothpastes and mouth rinses contain added NaF or SnF</w:t>
      </w:r>
      <w:r>
        <w:rPr>
          <w:vertAlign w:val="subscript"/>
        </w:rPr>
        <w:t xml:space="preserve">2</w:t>
      </w:r>
      <w:r>
        <w:t xml:space="preserve"> </w:t>
      </w:r>
      <w:r>
        <w:t xml:space="preserve">that make enamel more acid resistant by replacing the strong base hydroxide with the weak base fluoride:</w:t>
      </w:r>
    </w:p>
    <w:bookmarkStart w:id="52" w:name="fs-idm447520"/>
    <w:p>
      <w:pPr>
        <w:pStyle w:val="TextBody"/>
      </w:pPr>
      <m:oMath>
        <m:r>
          <m:rPr>
            <m:nor/>
            <m:sty m:val="p"/>
          </m:rPr>
          <m:t>NaF</m:t>
        </m:r>
        <m:r>
          <m:rPr>
            <m:sty m:val="p"/>
          </m:rPr>
          <m:t>+</m:t>
        </m:r>
        <m:sSub>
          <m:e>
            <m:r>
              <m:rPr>
                <m:nor/>
                <m:sty m:val="p"/>
              </m:rPr>
              <m:t>Ca</m:t>
            </m:r>
          </m:e>
          <m:sub>
            <m:r>
              <m:rPr>
                <m:nor/>
                <m:sty m:val="p"/>
              </m:rPr>
              <m:t>5</m:t>
            </m:r>
          </m:sub>
        </m:sSub>
        <m:r>
          <m:rPr>
            <m:sty m:val="p"/>
          </m:rPr>
          <m:t>(</m:t>
        </m:r>
        <m:sSub>
          <m:e>
            <m:r>
              <m:rPr>
                <m:nor/>
                <m:sty m:val="p"/>
              </m:rPr>
              <m:t>P</m:t>
            </m:r>
            <m:sSub>
              <m:e>
                <m:r>
                  <m:rPr>
                    <m:nor/>
                    <m:sty m:val="p"/>
                  </m:rPr>
                  <m:t>O</m:t>
                </m:r>
              </m:e>
              <m:sub>
                <m:r>
                  <m:t>4</m:t>
                </m:r>
              </m:sub>
            </m:sSub>
            <m:r>
              <m:rPr>
                <m:sty m:val="p"/>
              </m:rPr>
              <m:t>)</m:t>
            </m:r>
          </m:e>
          <m:sub>
            <m:r>
              <m:t>3</m:t>
            </m:r>
          </m:sub>
        </m:sSub>
        <m:r>
          <m:rPr>
            <m:nor/>
            <m:sty m:val="p"/>
          </m:rPr>
          <m:t>OH</m:t>
        </m:r>
        <m:r>
          <m:t> </m:t>
        </m:r>
        <m:r>
          <m:rPr>
            <m:sty m:val="p"/>
          </m:rPr>
          <m:t>⇌</m:t>
        </m:r>
        <m:r>
          <m:t> </m:t>
        </m:r>
        <m:sSub>
          <m:e>
            <m:r>
              <m:rPr>
                <m:nor/>
                <m:sty m:val="p"/>
              </m:rPr>
              <m:t>Ca</m:t>
            </m:r>
          </m:e>
          <m:sub>
            <m:r>
              <m:rPr>
                <m:nor/>
                <m:sty m:val="p"/>
              </m:rPr>
              <m:t>5</m:t>
            </m:r>
          </m:sub>
        </m:sSub>
        <m:r>
          <m:rPr>
            <m:sty m:val="p"/>
          </m:rPr>
          <m:t>(</m:t>
        </m:r>
        <m:sSub>
          <m:e>
            <m:r>
              <m:rPr>
                <m:nor/>
                <m:sty m:val="p"/>
              </m:rPr>
              <m:t>P</m:t>
            </m:r>
            <m:sSub>
              <m:e>
                <m:r>
                  <m:rPr>
                    <m:nor/>
                    <m:sty m:val="p"/>
                  </m:rPr>
                  <m:t>O</m:t>
                </m:r>
              </m:e>
              <m:sub>
                <m:r>
                  <m:t>4</m:t>
                </m:r>
              </m:sub>
            </m:sSub>
            <m:r>
              <m:rPr>
                <m:sty m:val="p"/>
              </m:rPr>
              <m:t>)</m:t>
            </m:r>
          </m:e>
          <m:sub>
            <m:r>
              <m:t>3</m:t>
            </m:r>
          </m:sub>
        </m:sSub>
        <m:r>
          <m:rPr>
            <m:nor/>
            <m:sty m:val="p"/>
          </m:rPr>
          <m:t>F</m:t>
        </m:r>
        <m:r>
          <m:rPr>
            <m:sty m:val="p"/>
          </m:rPr>
          <m:t>+</m:t>
        </m:r>
        <m:sSup>
          <m:e>
            <m:r>
              <m:rPr>
                <m:nor/>
                <m:sty m:val="p"/>
              </m:rPr>
              <m:t>Na</m:t>
            </m:r>
          </m:e>
          <m:sup>
            <m:r>
              <m:rPr>
                <m:sty m:val="p"/>
              </m:rPr>
              <m:t>+</m:t>
            </m:r>
          </m:sup>
        </m:sSup>
        <m:r>
          <m:rPr>
            <m:sty m:val="p"/>
          </m:rPr>
          <m:t>+</m:t>
        </m:r>
        <m:sSup>
          <m:e>
            <m:r>
              <m:rPr>
                <m:nor/>
                <m:sty m:val="p"/>
              </m:rPr>
              <m:t>OH</m:t>
            </m:r>
          </m:e>
          <m:sup>
            <m:r>
              <m:rPr>
                <m:nor/>
                <m:sty m:val="p"/>
              </m:rPr>
              <m:t>−</m:t>
            </m:r>
          </m:sup>
        </m:sSup>
      </m:oMath>
    </w:p>
    <w:bookmarkEnd w:id="52"/>
    <w:p>
      <w:pPr>
        <w:pStyle w:val="TextBody"/>
      </w:pPr>
      <w:r>
        <w:t xml:space="preserve">The weak base fluoride ion reacts only partially with the bacterial acid waste, resulting in a less extensive shift in the solubility equilibrium and an increased resistance to acid dissolution. See the Chemistry in Everyday Life feature on the role of fluoride in preventing tooth decay for more information.</w:t>
      </w:r>
    </w:p>
    <w:bookmarkStart w:id="57" w:name="fs-idm790400"/>
    <w:p>
      <w:pPr>
        <w:pStyle w:val="Heading3Grey"/>
      </w:pPr>
      <w:r>
        <w:t xml:space="preserve">Chemistry in Everyday Life</w:t>
      </w:r>
    </w:p>
    <w:p>
      <w:pPr>
        <w:pStyle w:val="Heading4Grey"/>
      </w:pPr>
      <w:r>
        <w:t xml:space="preserve">Role of Fluoride in Preventing Tooth Decay</w:t>
      </w:r>
    </w:p>
    <w:p>
      <w:pPr>
        <w:pStyle w:val="NoteExampleGrey"/>
      </w:pPr>
      <w:r>
        <w:t xml:space="preserve">As we saw previously, fluoride ions help protect our teeth by reacting with hydroxylapatite to form fluorapatite, Ca</w:t>
      </w:r>
      <w:r>
        <w:rPr>
          <w:vertAlign w:val="subscript"/>
        </w:rPr>
        <w:t xml:space="preserve">5</w:t>
      </w:r>
      <w:r>
        <w:t xml:space="preserve">(PO</w:t>
      </w:r>
      <w:r>
        <w:rPr>
          <w:vertAlign w:val="subscript"/>
        </w:rPr>
        <w:t xml:space="preserve">4</w:t>
      </w:r>
      <w:r>
        <w:t xml:space="preserve">)</w:t>
      </w:r>
      <w:r>
        <w:rPr>
          <w:vertAlign w:val="subscript"/>
        </w:rPr>
        <w:t xml:space="preserve">3</w:t>
      </w:r>
      <w:r>
        <w:t xml:space="preserve">F. Since it lacks a hydroxide ion, fluorapatite is more resistant to attacks by acids in our mouths and is thus less soluble, protecting our teeth. Scientists discovered that naturally fluorinated water could be beneficial to your teeth, and so it became common practice to add fluoride to drinking water. Toothpastes and mouthwashes also contain amounts of fluoride (</w:t>
      </w:r>
      <w:hyperlink w:anchor="CNX_Chem_15_03_Toothpaste">
        <w:r>
          <w:rPr>
            <w:rStyle w:val="InternetLink"/>
          </w:rPr>
          <w:t xml:space="preserve">Figure 15.9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6" w:name="fs-idm726352"/>
            <w:r>
              <w:t xml:space="preserve"> </w:t>
            </w:r>
            <w:r>
              <w:drawing>
                <wp:inline>
                  <wp:extent cx="2971800" cy="1229868"/>
                  <wp:effectExtent b="0" l="0" r="0" t="0"/>
                  <wp:docPr descr="Replace with updated art; figure in “99” art folder is current and correct" title="" id="54" name="Picture"/>
                  <a:graphic>
                    <a:graphicData uri="http://schemas.openxmlformats.org/drawingml/2006/picture">
                      <pic:pic>
                        <pic:nvPicPr>
                          <pic:cNvPr descr="../resources/1c5edca0ab4f0f694864a1e79c356bb87fe4d7b3" id="55" name="Picture"/>
                          <pic:cNvPicPr>
                            <a:picLocks noChangeArrowheads="1" noChangeAspect="1"/>
                          </pic:cNvPicPr>
                        </pic:nvPicPr>
                        <pic:blipFill>
                          <a:blip r:embed="rId53"/>
                          <a:stretch>
                            <a:fillRect/>
                          </a:stretch>
                        </pic:blipFill>
                        <pic:spPr bwMode="auto">
                          <a:xfrm>
                            <a:off x="0" y="0"/>
                            <a:ext cx="2971800" cy="1229868"/>
                          </a:xfrm>
                          <a:prstGeom prst="rect">
                            <a:avLst/>
                          </a:prstGeom>
                          <a:noFill/>
                          <a:ln w="9525">
                            <a:noFill/>
                            <a:headEnd/>
                            <a:tailEnd/>
                          </a:ln>
                        </pic:spPr>
                      </pic:pic>
                    </a:graphicData>
                  </a:graphic>
                </wp:inline>
              </w:drawing>
            </w:r>
            <w:r>
              <w:t xml:space="preserve"> </w:t>
            </w:r>
            <w:bookmarkEnd w:id="56"/>
          </w:p>
        </w:tc>
      </w:tr>
    </w:tbl>
    <w:p>
      <w:pPr>
        <w:pStyle w:val="NoteExampleGrey"/>
      </w:pPr>
      <w:r>
        <w:t xml:space="preserve">Figure</w:t>
      </w:r>
      <w:r>
        <w:t xml:space="preserve"> </w:t>
      </w:r>
      <w:r>
        <w:t xml:space="preserve"> </w:t>
      </w:r>
      <w:r>
        <w:t xml:space="preserve">15.9</w:t>
      </w:r>
      <w:r>
        <w:t xml:space="preserve"> </w:t>
      </w:r>
      <w:r>
        <w:t xml:space="preserve"> </w:t>
      </w:r>
      <w:r>
        <w:t xml:space="preserve"> </w:t>
      </w:r>
      <w:r>
        <w:t xml:space="preserve">Fluoride, found in many toothpastes, helps prevent tooth decay (credit: Kerry Ceszyk).</w:t>
      </w:r>
    </w:p>
    <w:p>
      <w:pPr>
        <w:pStyle w:val="NoteExampleGrey"/>
      </w:pPr>
      <w:r>
        <w:t xml:space="preserve">Unfortunately, excess fluoride can negate its advantages. Natural sources of drinking water in various parts of the world have varying concentrations of fluoride, and places where that concentration is high are prone to certain health risks when there is no other source of drinking water. The most serious side effect of excess fluoride is the bone disease, skeletal fluorosis. When excess fluoride is in the body, it can cause the joints to stiffen and the bones to thicken. It can severely impact mobility and can negatively affect the thyroid gland. Skeletal fluorosis is a condition that over 2.7 million people suffer from across the world. So while fluoride can protect our teeth from decay, the US Environmental Protection Agency sets a maximum level of 4 ppm (4 mg/L) of fluoride in drinking water in the US. Fluoride levels in water are not regulated in all countries, so fluorosis is a problem in areas with high levels of fluoride in the groundwater.</w:t>
      </w:r>
    </w:p>
    <w:bookmarkEnd w:id="57"/>
    <w:p>
      <w:pPr>
        <w:pStyle w:val="TextBody"/>
      </w:pPr>
      <w:r>
        <w:t xml:space="preserve">The solubility of ionic compounds may also be increased when dissolution is coupled to the formation of a complex ion. For example, aluminum hydroxide dissolves in a solution of sodium hydroxide or another strong base because of the formation of the complex ion</w:t>
      </w:r>
      <w:r>
        <w:t xml:space="preserve"> </w:t>
      </w:r>
      <m:oMath>
        <m:r>
          <m:rPr>
            <m:nor/>
            <m:sty m:val="p"/>
          </m:rPr>
          <m:t>Al</m:t>
        </m:r>
        <m:sSub>
          <m:e>
            <m:d>
              <m:dPr>
                <m:begChr m:val="("/>
                <m:endChr m:val=")"/>
                <m:sepChr m:val=""/>
                <m:grow/>
              </m:dPr>
              <m:e>
                <m:r>
                  <m:rPr>
                    <m:nor/>
                    <m:sty m:val="p"/>
                  </m:rPr>
                  <m:t>OH</m:t>
                </m:r>
              </m:e>
            </m:d>
          </m:e>
          <m:sub>
            <m:r>
              <m:t>4</m:t>
            </m:r>
          </m:sub>
        </m:sSub>
        <m:sSup>
          <m:e>
            <m:r>
              <m:t>​</m:t>
            </m:r>
          </m:e>
          <m:sup>
            <m:r>
              <m:rPr>
                <m:nor/>
                <m:sty m:val="p"/>
              </m:rPr>
              <m:t>−</m:t>
            </m:r>
          </m:sup>
        </m:sSup>
        <m:r>
          <m:rPr>
            <m:sty m:val="p"/>
          </m:rPr>
          <m:t>.</m:t>
        </m:r>
      </m:oMath>
    </w:p>
    <w:p>
      <w:pPr>
        <w:pStyle w:val="TextBody"/>
      </w:pPr>
      <w:bookmarkStart w:id="61" w:name="fs-idp137004736"/>
      <w:r>
        <w:t xml:space="preserve"> </w:t>
      </w:r>
      <w:r>
        <w:drawing>
          <wp:inline>
            <wp:extent cx="1485900" cy="772668"/>
            <wp:effectExtent b="0" l="0" r="0" t="0"/>
            <wp:docPr descr="An H atom is bonded to an O atom. The O atom has 2 dots above it and 2 dots below it. The O atom is bonded to an A l atom, which has three additional O atoms bonded to it as well. Each of these additional O atoms has 4 dots arranged around it, and is bonded to an H atom. This entire molecule is contained in brackets, to the right of which is a superscripted negative sign." title="" id="59" name="Picture"/>
            <a:graphic>
              <a:graphicData uri="http://schemas.openxmlformats.org/drawingml/2006/picture">
                <pic:pic>
                  <pic:nvPicPr>
                    <pic:cNvPr descr="../resources/ec0583eb0fb6238971af3b9efbce4e52b7ee02c8" id="60" name="Picture"/>
                    <pic:cNvPicPr>
                      <a:picLocks noChangeArrowheads="1" noChangeAspect="1"/>
                    </pic:cNvPicPr>
                  </pic:nvPicPr>
                  <pic:blipFill>
                    <a:blip r:embed="rId58"/>
                    <a:stretch>
                      <a:fillRect/>
                    </a:stretch>
                  </pic:blipFill>
                  <pic:spPr bwMode="auto">
                    <a:xfrm>
                      <a:off x="0" y="0"/>
                      <a:ext cx="1485900" cy="772668"/>
                    </a:xfrm>
                    <a:prstGeom prst="rect">
                      <a:avLst/>
                    </a:prstGeom>
                    <a:noFill/>
                    <a:ln w="9525">
                      <a:noFill/>
                      <a:headEnd/>
                      <a:tailEnd/>
                    </a:ln>
                  </pic:spPr>
                </pic:pic>
              </a:graphicData>
            </a:graphic>
          </wp:inline>
        </w:drawing>
      </w:r>
      <w:r>
        <w:t xml:space="preserve"> </w:t>
      </w:r>
      <w:bookmarkEnd w:id="61"/>
    </w:p>
    <w:p>
      <w:pPr>
        <w:pStyle w:val="TextBody"/>
      </w:pPr>
      <w:r>
        <w:t xml:space="preserve">The equations for the dissolution of aluminum hydroxide, the formation of the complex ion, and the combined (net) equation are shown below. As indicated by the relatively large value of K for the net reaction, coupling complex formation with dissolution drastically increases the solubility of Al(OH)</w:t>
      </w:r>
      <w:r>
        <w:rPr>
          <w:vertAlign w:val="subscript"/>
        </w:rPr>
        <w:t xml:space="preserve">3</w:t>
      </w:r>
      <w:r>
        <w:t xml:space="preserve">.</w:t>
      </w:r>
    </w:p>
    <w:bookmarkStart w:id="65" w:name="fs-idp25643760"/>
    <w:p>
      <w:pPr>
        <w:pStyle w:val="TextBody"/>
      </w:pPr>
      <w:r>
        <w:drawing>
          <wp:inline>
            <wp:extent cx="4333875" cy="647700"/>
            <wp:effectExtent b="0" l="0" r="0" t="0"/>
            <wp:docPr descr="None" title="" id="63" name="Picture"/>
            <a:graphic>
              <a:graphicData uri="http://schemas.openxmlformats.org/drawingml/2006/picture">
                <pic:pic>
                  <pic:nvPicPr>
                    <pic:cNvPr descr="../resources/3464cfad0d9ad2fdc2ab82eb8f5c1a66868c2cec" id="64" name="Picture"/>
                    <pic:cNvPicPr>
                      <a:picLocks noChangeArrowheads="1" noChangeAspect="1"/>
                    </pic:cNvPicPr>
                  </pic:nvPicPr>
                  <pic:blipFill>
                    <a:blip r:embed="rId62"/>
                    <a:stretch>
                      <a:fillRect/>
                    </a:stretch>
                  </pic:blipFill>
                  <pic:spPr bwMode="auto">
                    <a:xfrm>
                      <a:off x="0" y="0"/>
                      <a:ext cx="4333875" cy="647700"/>
                    </a:xfrm>
                    <a:prstGeom prst="rect">
                      <a:avLst/>
                    </a:prstGeom>
                    <a:noFill/>
                    <a:ln w="9525">
                      <a:noFill/>
                      <a:headEnd/>
                      <a:tailEnd/>
                    </a:ln>
                  </pic:spPr>
                </pic:pic>
              </a:graphicData>
            </a:graphic>
          </wp:inline>
        </w:drawing>
      </w:r>
    </w:p>
    <w:bookmarkEnd w:id="65"/>
    <w:bookmarkStart w:id="83" w:name="fs-idm596544"/>
    <w:p>
      <w:pPr>
        <w:pStyle w:val="Heading3Grey"/>
      </w:pPr>
      <w:r>
        <w:t xml:space="preserve">Example</w:t>
      </w:r>
      <w:r>
        <w:t xml:space="preserve"> </w:t>
      </w:r>
      <w:r>
        <w:t xml:space="preserve"> </w:t>
      </w:r>
      <w:r>
        <w:t xml:space="preserve">15.15</w:t>
      </w:r>
      <w:r>
        <w:t xml:space="preserve"> </w:t>
      </w:r>
      <w:r>
        <w:t xml:space="preserve"> </w:t>
      </w:r>
    </w:p>
    <w:p>
      <w:pPr>
        <w:pStyle w:val="Heading4Grey"/>
      </w:pPr>
      <w:r>
        <w:t xml:space="preserve">Increased Solubility in Acidic Solutions</w:t>
      </w:r>
    </w:p>
    <w:p>
      <w:pPr>
        <w:pStyle w:val="NoteExampleGrey"/>
      </w:pPr>
      <w:r>
        <w:t xml:space="preserve">Compute and compare the molar solublities for aluminum hydroxide, Al(OH)</w:t>
      </w:r>
      <w:r>
        <w:rPr>
          <w:vertAlign w:val="subscript"/>
        </w:rPr>
        <w:t xml:space="preserve">3</w:t>
      </w:r>
      <w:r>
        <w:t xml:space="preserve">, dissolved in (a) pure water and (b) a buffer containing 0.100</w:t>
      </w:r>
      <w:r>
        <w:t xml:space="preserve"> </w:t>
      </w:r>
      <w:r>
        <w:rPr>
          <w:iCs/>
          <w:i/>
        </w:rPr>
        <w:t xml:space="preserve">M</w:t>
      </w:r>
      <w:r>
        <w:t xml:space="preserve"> </w:t>
      </w:r>
      <w:r>
        <w:t xml:space="preserve">acetic acid and 0.100</w:t>
      </w:r>
      <w:r>
        <w:t xml:space="preserve"> </w:t>
      </w:r>
      <w:r>
        <w:rPr>
          <w:iCs/>
          <w:i/>
        </w:rPr>
        <w:t xml:space="preserve">M</w:t>
      </w:r>
      <w:r>
        <w:t xml:space="preserve"> </w:t>
      </w:r>
      <w:r>
        <w:t xml:space="preserve">sodium acetate.</w:t>
      </w:r>
    </w:p>
    <w:p>
      <w:pPr>
        <w:pStyle w:val="Heading4Grey"/>
      </w:pPr>
      <w:r>
        <w:t xml:space="preserve">Solution</w:t>
      </w:r>
    </w:p>
    <w:p>
      <w:pPr>
        <w:pStyle w:val="NoteExampleGrey"/>
      </w:pPr>
      <w:r>
        <w:t xml:space="preserve">(a) The molar solubility of aluminum hydroxide in water is computed considering the dissolution equilibrium only as demonstrated in several previous examples:</w:t>
      </w:r>
    </w:p>
    <w:bookmarkStart w:id="69" w:name="fs-idm514344192"/>
    <w:p>
      <w:pPr>
        <w:pStyle w:val="NoteExampleGrey"/>
      </w:pPr>
      <w:r>
        <w:drawing>
          <wp:inline>
            <wp:extent cx="4743450" cy="638175"/>
            <wp:effectExtent b="0" l="0" r="0" t="0"/>
            <wp:docPr descr="None" title="" id="67" name="Picture"/>
            <a:graphic>
              <a:graphicData uri="http://schemas.openxmlformats.org/drawingml/2006/picture">
                <pic:pic>
                  <pic:nvPicPr>
                    <pic:cNvPr descr="../resources/23d2c08bf48545870ebf0d386a75885309cb88ad" id="68" name="Picture"/>
                    <pic:cNvPicPr>
                      <a:picLocks noChangeArrowheads="1" noChangeAspect="1"/>
                    </pic:cNvPicPr>
                  </pic:nvPicPr>
                  <pic:blipFill>
                    <a:blip r:embed="rId66"/>
                    <a:stretch>
                      <a:fillRect/>
                    </a:stretch>
                  </pic:blipFill>
                  <pic:spPr bwMode="auto">
                    <a:xfrm>
                      <a:off x="0" y="0"/>
                      <a:ext cx="4743450" cy="638175"/>
                    </a:xfrm>
                    <a:prstGeom prst="rect">
                      <a:avLst/>
                    </a:prstGeom>
                    <a:noFill/>
                    <a:ln w="9525">
                      <a:noFill/>
                      <a:headEnd/>
                      <a:tailEnd/>
                    </a:ln>
                  </pic:spPr>
                </pic:pic>
              </a:graphicData>
            </a:graphic>
          </wp:inline>
        </w:drawing>
      </w:r>
    </w:p>
    <w:bookmarkEnd w:id="69"/>
    <w:p>
      <w:pPr>
        <w:pStyle w:val="NoteExampleGrey"/>
      </w:pPr>
      <w:r>
        <w:t xml:space="preserve">(b) The concentration of hydroxide ion of the buffered solution is conveniently calculated by the Henderson-Hasselbalch equation:</w:t>
      </w:r>
    </w:p>
    <w:bookmarkStart w:id="73" w:name="fs-idm381513040"/>
    <w:p>
      <w:pPr>
        <w:pStyle w:val="NoteExampleGrey"/>
      </w:pPr>
      <w:r>
        <w:drawing>
          <wp:inline>
            <wp:extent cx="2828925" cy="428625"/>
            <wp:effectExtent b="0" l="0" r="0" t="0"/>
            <wp:docPr descr="None" title="" id="71" name="Picture"/>
            <a:graphic>
              <a:graphicData uri="http://schemas.openxmlformats.org/drawingml/2006/picture">
                <pic:pic>
                  <pic:nvPicPr>
                    <pic:cNvPr descr="../resources/cab55561b6ddbde399c201f334346a0de6e537e5" id="72" name="Picture"/>
                    <pic:cNvPicPr>
                      <a:picLocks noChangeArrowheads="1" noChangeAspect="1"/>
                    </pic:cNvPicPr>
                  </pic:nvPicPr>
                  <pic:blipFill>
                    <a:blip r:embed="rId70"/>
                    <a:stretch>
                      <a:fillRect/>
                    </a:stretch>
                  </pic:blipFill>
                  <pic:spPr bwMode="auto">
                    <a:xfrm>
                      <a:off x="0" y="0"/>
                      <a:ext cx="2828925" cy="428625"/>
                    </a:xfrm>
                    <a:prstGeom prst="rect">
                      <a:avLst/>
                    </a:prstGeom>
                    <a:noFill/>
                    <a:ln w="9525">
                      <a:noFill/>
                      <a:headEnd/>
                      <a:tailEnd/>
                    </a:ln>
                  </pic:spPr>
                </pic:pic>
              </a:graphicData>
            </a:graphic>
          </wp:inline>
        </w:drawing>
      </w:r>
    </w:p>
    <w:bookmarkEnd w:id="73"/>
    <w:p>
      <w:pPr>
        <w:pStyle w:val="NoteExampleGrey"/>
      </w:pPr>
      <w:r>
        <w:t xml:space="preserve">At this pH, the concentration of hydroxide ion is</w:t>
      </w:r>
    </w:p>
    <w:bookmarkStart w:id="77" w:name="fs-idm352371264"/>
    <w:p>
      <w:pPr>
        <w:pStyle w:val="NoteExampleGrey"/>
      </w:pPr>
      <w:r>
        <w:drawing>
          <wp:inline>
            <wp:extent cx="2095500" cy="381000"/>
            <wp:effectExtent b="0" l="0" r="0" t="0"/>
            <wp:docPr descr="None" title="" id="75" name="Picture"/>
            <a:graphic>
              <a:graphicData uri="http://schemas.openxmlformats.org/drawingml/2006/picture">
                <pic:pic>
                  <pic:nvPicPr>
                    <pic:cNvPr descr="../resources/06d1eb14aadd77a0f1dacfc6b791f8a85bc05a5f" id="76" name="Picture"/>
                    <pic:cNvPicPr>
                      <a:picLocks noChangeArrowheads="1" noChangeAspect="1"/>
                    </pic:cNvPicPr>
                  </pic:nvPicPr>
                  <pic:blipFill>
                    <a:blip r:embed="rId74"/>
                    <a:stretch>
                      <a:fillRect/>
                    </a:stretch>
                  </pic:blipFill>
                  <pic:spPr bwMode="auto">
                    <a:xfrm>
                      <a:off x="0" y="0"/>
                      <a:ext cx="2095500" cy="381000"/>
                    </a:xfrm>
                    <a:prstGeom prst="rect">
                      <a:avLst/>
                    </a:prstGeom>
                    <a:noFill/>
                    <a:ln w="9525">
                      <a:noFill/>
                      <a:headEnd/>
                      <a:tailEnd/>
                    </a:ln>
                  </pic:spPr>
                </pic:pic>
              </a:graphicData>
            </a:graphic>
          </wp:inline>
        </w:drawing>
      </w:r>
    </w:p>
    <w:bookmarkEnd w:id="77"/>
    <w:p>
      <w:pPr>
        <w:pStyle w:val="NoteExampleGrey"/>
      </w:pPr>
      <w:r>
        <w:t xml:space="preserve">The solubility of Al(OH)</w:t>
      </w:r>
      <w:r>
        <w:rPr>
          <w:vertAlign w:val="subscript"/>
        </w:rPr>
        <w:t xml:space="preserve">3</w:t>
      </w:r>
      <w:r>
        <w:t xml:space="preserve"> </w:t>
      </w:r>
      <w:r>
        <w:t xml:space="preserve">in this buffer is then calculated from its solubility product expressions:</w:t>
      </w:r>
    </w:p>
    <w:bookmarkStart w:id="81" w:name="fs-idm508638352"/>
    <w:p>
      <w:pPr>
        <w:pStyle w:val="NoteExampleGrey"/>
      </w:pPr>
      <w:r>
        <w:drawing>
          <wp:inline>
            <wp:extent cx="5943600" cy="420861"/>
            <wp:effectExtent b="0" l="0" r="0" t="0"/>
            <wp:docPr descr="None" title="" id="79" name="Picture"/>
            <a:graphic>
              <a:graphicData uri="http://schemas.openxmlformats.org/drawingml/2006/picture">
                <pic:pic>
                  <pic:nvPicPr>
                    <pic:cNvPr descr="../resources/5f68cb38f5b0163b695811814e5d2282962b8cbd" id="80" name="Picture"/>
                    <pic:cNvPicPr>
                      <a:picLocks noChangeArrowheads="1" noChangeAspect="1"/>
                    </pic:cNvPicPr>
                  </pic:nvPicPr>
                  <pic:blipFill>
                    <a:blip r:embed="rId78"/>
                    <a:stretch>
                      <a:fillRect/>
                    </a:stretch>
                  </pic:blipFill>
                  <pic:spPr bwMode="auto">
                    <a:xfrm>
                      <a:off x="0" y="0"/>
                      <a:ext cx="5943600" cy="420861"/>
                    </a:xfrm>
                    <a:prstGeom prst="rect">
                      <a:avLst/>
                    </a:prstGeom>
                    <a:noFill/>
                    <a:ln w="9525">
                      <a:noFill/>
                      <a:headEnd/>
                      <a:tailEnd/>
                    </a:ln>
                  </pic:spPr>
                </pic:pic>
              </a:graphicData>
            </a:graphic>
          </wp:inline>
        </w:drawing>
      </w:r>
    </w:p>
    <w:bookmarkEnd w:id="81"/>
    <w:p>
      <w:pPr>
        <w:pStyle w:val="NoteExampleGrey"/>
      </w:pPr>
      <w:r>
        <w:t xml:space="preserve">Compared to pure water, the solubility of aluminum hydroxide in this mildly acidic buffer is approximately ten million times greater (though still relatively low).</w:t>
      </w:r>
    </w:p>
    <w:p>
      <w:pPr>
        <w:pStyle w:val="Heading4Grey"/>
      </w:pPr>
      <w:r>
        <w:t xml:space="preserve">Check Your Learning</w:t>
      </w:r>
    </w:p>
    <w:p>
      <w:pPr>
        <w:pStyle w:val="NoteExampleGrey"/>
      </w:pPr>
      <w:r>
        <w:t xml:space="preserve">What is the solubility of aluminum hydroxide in a buffer comprised of 0.100</w:t>
      </w:r>
      <w:r>
        <w:t xml:space="preserve"> </w:t>
      </w:r>
      <w:r>
        <w:rPr>
          <w:iCs/>
          <w:i/>
        </w:rPr>
        <w:t xml:space="preserve">M</w:t>
      </w:r>
      <w:r>
        <w:t xml:space="preserve"> </w:t>
      </w:r>
      <w:r>
        <w:t xml:space="preserve">formic acid and 0.100</w:t>
      </w:r>
      <w:r>
        <w:t xml:space="preserve"> </w:t>
      </w:r>
      <w:r>
        <w:rPr>
          <w:iCs/>
          <w:i/>
        </w:rPr>
        <w:t xml:space="preserve">M</w:t>
      </w:r>
      <w:r>
        <w:t xml:space="preserve"> </w:t>
      </w:r>
      <w:r>
        <w:t xml:space="preserve">sodium formate?</w:t>
      </w:r>
    </w:p>
    <w:bookmarkStart w:id="82" w:name="fs-idp14780320"/>
    <w:p>
      <w:pPr>
        <w:pStyle w:val="Heading3Grey"/>
      </w:pPr>
      <w:r>
        <w:t xml:space="preserve">Answer:</w:t>
      </w:r>
    </w:p>
    <w:p>
      <w:pPr>
        <w:pStyle w:val="NoteExampleGrey"/>
      </w:pPr>
      <w:r>
        <w:t xml:space="preserve">0.1</w:t>
      </w:r>
      <w:r>
        <w:t xml:space="preserve"> </w:t>
      </w:r>
      <w:r>
        <w:rPr>
          <w:iCs/>
          <w:i/>
        </w:rPr>
        <w:t xml:space="preserve">M</w:t>
      </w:r>
    </w:p>
    <w:bookmarkEnd w:id="82"/>
    <w:bookmarkEnd w:id="83"/>
    <w:p>
      <w:pPr>
        <w:pStyle w:val="SmallWhiteGap"/>
      </w:pPr>
      <w:r>
        <w:t xml:space="preserve"> </w:t>
      </w:r>
    </w:p>
    <w:bookmarkStart w:id="97" w:name="fs-idp14732576"/>
    <w:p>
      <w:pPr>
        <w:pStyle w:val="Heading3Grey"/>
      </w:pPr>
      <w:r>
        <w:t xml:space="preserve">Example</w:t>
      </w:r>
      <w:r>
        <w:t xml:space="preserve"> </w:t>
      </w:r>
      <w:r>
        <w:t xml:space="preserve"> </w:t>
      </w:r>
      <w:r>
        <w:t xml:space="preserve">15.16</w:t>
      </w:r>
      <w:r>
        <w:t xml:space="preserve"> </w:t>
      </w:r>
      <w:r>
        <w:t xml:space="preserve"> </w:t>
      </w:r>
    </w:p>
    <w:p>
      <w:pPr>
        <w:pStyle w:val="Heading4Grey"/>
      </w:pPr>
      <w:r>
        <w:t xml:space="preserve">Multiple Equilibria</w:t>
      </w:r>
    </w:p>
    <w:p>
      <w:pPr>
        <w:pStyle w:val="NoteExampleGrey"/>
      </w:pPr>
      <w:r>
        <w:t xml:space="preserve">Unexposed silver halides are removed from photographic film when they react with sodium thiosulfate (Na</w:t>
      </w:r>
      <w:r>
        <w:rPr>
          <w:vertAlign w:val="subscript"/>
        </w:rPr>
        <w:t xml:space="preserve">2</w:t>
      </w:r>
      <w:r>
        <w:t xml:space="preserve">S</w:t>
      </w:r>
      <w:r>
        <w:rPr>
          <w:vertAlign w:val="subscript"/>
        </w:rPr>
        <w:t xml:space="preserve">2</w:t>
      </w:r>
      <w:r>
        <w:t xml:space="preserve">O</w:t>
      </w:r>
      <w:r>
        <w:rPr>
          <w:vertAlign w:val="subscript"/>
        </w:rPr>
        <w:t xml:space="preserve">3</w:t>
      </w:r>
      <w:r>
        <w:t xml:space="preserve">, called hypo) to form the complex ion</w:t>
      </w:r>
      <w:r>
        <w:t xml:space="preserve"> </w:t>
      </w:r>
      <m:oMath>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rPr>
                <m:nor/>
                <m:sty m:val="p"/>
              </m:rPr>
              <m:t>3−</m:t>
            </m:r>
          </m:sup>
        </m:sSup>
      </m:oMath>
      <w:r>
        <w:t xml:space="preserve"> </w:t>
      </w:r>
      <w:r>
        <w:t xml:space="preserve">(</w:t>
      </w:r>
      <w:r>
        <w:rPr>
          <w:iCs/>
          <w:i/>
        </w:rPr>
        <w:t xml:space="preserve">K</w:t>
      </w:r>
      <w:r>
        <w:rPr>
          <w:vertAlign w:val="subscript"/>
        </w:rPr>
        <w:t xml:space="preserve">f</w:t>
      </w:r>
      <w:r>
        <w:t xml:space="preserve"> </w:t>
      </w:r>
      <w:r>
        <w:t xml:space="preserve">= 4.7</w:t>
      </w:r>
      <w:r>
        <w:t xml:space="preserve"> </w:t>
      </w:r>
      <m:oMath>
        <m:r>
          <m:rPr>
            <m:sty m:val="p"/>
          </m:rPr>
          <m:t>×</m:t>
        </m:r>
      </m:oMath>
      <w:r>
        <w:t xml:space="preserve"> </w:t>
      </w:r>
      <w:r>
        <w:t xml:space="preserve">10</w:t>
      </w:r>
      <w:r>
        <w:rPr>
          <w:vertAlign w:val="superscript"/>
        </w:rPr>
        <w:t xml:space="preserve">13</w:t>
      </w:r>
      <w:r>
        <w:t xml:space="preserve">).</w:t>
      </w:r>
      <w:r>
        <w:t xml:space="preserve"> </w:t>
      </w:r>
      <w:bookmarkStart w:id="87" w:name="fs-idp120368"/>
      <w:r>
        <w:t xml:space="preserve"> </w:t>
      </w:r>
      <w:r>
        <w:drawing>
          <wp:inline>
            <wp:extent cx="4572000" cy="804672"/>
            <wp:effectExtent b="0" l="0" r="0" t="0"/>
            <wp:docPr descr="A chemical reaction is shown using structural formulas. On the left, A g superscript plus is followed by a plus sign, the number 2, and a structure in brackets. The structure is composed of a central S atom which has O atoms single bonded above, right, and below. A second S atom is single bonded to the left. Each of these bonded atoms has 6 dots around it. Outside the brackets is a superscript 2 negative. Following a bidirectional arrow is a structure in brackets with a central A g atom. To the left and right, S atoms are single bonded to the A g atom. Each of these S atoms has four dots around it, and an S atom connected with a single bond moving out from the central A g atom, forming the ends of the structure. Each of these atoms has three O atoms attached with single bonds above, below, and at the end of the structure. Each O atom has six dots around it. Outside the brackets is a superscript 3 negative." title="" id="85" name="Picture"/>
            <a:graphic>
              <a:graphicData uri="http://schemas.openxmlformats.org/drawingml/2006/picture">
                <pic:pic>
                  <pic:nvPicPr>
                    <pic:cNvPr descr="../resources/9fd6f2879f722d4145117521c943bf6b7e48803e" id="86" name="Picture"/>
                    <pic:cNvPicPr>
                      <a:picLocks noChangeArrowheads="1" noChangeAspect="1"/>
                    </pic:cNvPicPr>
                  </pic:nvPicPr>
                  <pic:blipFill>
                    <a:blip r:embed="rId84"/>
                    <a:stretch>
                      <a:fillRect/>
                    </a:stretch>
                  </pic:blipFill>
                  <pic:spPr bwMode="auto">
                    <a:xfrm>
                      <a:off x="0" y="0"/>
                      <a:ext cx="4572000" cy="804672"/>
                    </a:xfrm>
                    <a:prstGeom prst="rect">
                      <a:avLst/>
                    </a:prstGeom>
                    <a:noFill/>
                    <a:ln w="9525">
                      <a:noFill/>
                      <a:headEnd/>
                      <a:tailEnd/>
                    </a:ln>
                  </pic:spPr>
                </pic:pic>
              </a:graphicData>
            </a:graphic>
          </wp:inline>
        </w:drawing>
      </w:r>
      <w:r>
        <w:t xml:space="preserve"> </w:t>
      </w:r>
      <w:bookmarkEnd w:id="87"/>
    </w:p>
    <w:p>
      <w:pPr>
        <w:pStyle w:val="NoteExampleGrey"/>
      </w:pPr>
      <w:r>
        <w:t xml:space="preserve">What mass of Na</w:t>
      </w:r>
      <w:r>
        <w:rPr>
          <w:vertAlign w:val="subscript"/>
        </w:rPr>
        <w:t xml:space="preserve">2</w:t>
      </w:r>
      <w:r>
        <w:t xml:space="preserve">S</w:t>
      </w:r>
      <w:r>
        <w:rPr>
          <w:vertAlign w:val="subscript"/>
        </w:rPr>
        <w:t xml:space="preserve">2</w:t>
      </w:r>
      <w:r>
        <w:t xml:space="preserve">O</w:t>
      </w:r>
      <w:r>
        <w:rPr>
          <w:vertAlign w:val="subscript"/>
        </w:rPr>
        <w:t xml:space="preserve">3</w:t>
      </w:r>
      <w:r>
        <w:t xml:space="preserve"> </w:t>
      </w:r>
      <w:r>
        <w:t xml:space="preserve">is required to prepare 1.00 L of a solution that will dissolve 1.00 g of AgBr by the formation of</w:t>
      </w:r>
      <w:r>
        <w:t xml:space="preserve"> </w:t>
      </w:r>
      <m:oMath>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rPr>
                <m:nor/>
                <m:sty m:val="p"/>
              </m:rPr>
              <m:t>3−</m:t>
            </m:r>
          </m:sup>
        </m:sSup>
        <m:r>
          <m:rPr>
            <m:sty m:val="p"/>
          </m:rPr>
          <m:t>?</m:t>
        </m:r>
      </m:oMath>
    </w:p>
    <w:p>
      <w:pPr>
        <w:pStyle w:val="Heading4Grey"/>
      </w:pPr>
      <w:r>
        <w:t xml:space="preserve">Solution</w:t>
      </w:r>
    </w:p>
    <w:p>
      <w:pPr>
        <w:pStyle w:val="NoteExampleGrey"/>
      </w:pPr>
      <w:r>
        <w:t xml:space="preserve">Two equilibria are involved when silver bromide dissolves in an aqueous thiosulfate solution containing the</w:t>
      </w:r>
      <w:r>
        <w:t xml:space="preserve"> </w:t>
      </w:r>
      <m:oMath>
        <m:sSub>
          <m:e>
            <m:r>
              <m:rPr>
                <m:nor/>
                <m:sty m:val="p"/>
              </m:rPr>
              <m:t>S</m:t>
            </m:r>
          </m:e>
          <m:sub>
            <m:r>
              <m:t>2</m:t>
            </m:r>
          </m:sub>
        </m:sSub>
        <m:sSub>
          <m:e>
            <m:r>
              <m:rPr>
                <m:nor/>
                <m:sty m:val="p"/>
              </m:rPr>
              <m:t>O</m:t>
            </m:r>
          </m:e>
          <m:sub>
            <m:r>
              <m:t>3</m:t>
            </m:r>
          </m:sub>
        </m:sSub>
        <m:sSup>
          <m:e>
            <m:r>
              <m:t>​</m:t>
            </m:r>
          </m:e>
          <m:sup>
            <m:r>
              <m:rPr>
                <m:nor/>
                <m:sty m:val="p"/>
              </m:rPr>
              <m:t>2−</m:t>
            </m:r>
          </m:sup>
        </m:sSup>
      </m:oMath>
      <w:r>
        <w:t xml:space="preserve"> </w:t>
      </w:r>
      <w:r>
        <w:t xml:space="preserve">ion:</w:t>
      </w:r>
    </w:p>
    <w:p>
      <w:pPr>
        <w:pStyle w:val="NoteExampleGrey"/>
      </w:pPr>
      <w:r>
        <w:t xml:space="preserve">dissolution:</w:t>
      </w:r>
      <w:r>
        <w:t xml:space="preserve"> </w:t>
      </w:r>
      <m:oMath>
        <m:r>
          <m:rPr>
            <m:nor/>
            <m:sty m:val="p"/>
          </m:rPr>
          <m:t>AgBr</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Br</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t>5.0</m:t>
        </m:r>
        <m:r>
          <m:t> </m:t>
        </m:r>
        <m:r>
          <m:rPr>
            <m:sty m:val="p"/>
          </m:rPr>
          <m:t>×</m:t>
        </m:r>
        <m:r>
          <m:t> </m:t>
        </m:r>
        <m:sSup>
          <m:e>
            <m:r>
              <m:t>10</m:t>
            </m:r>
          </m:e>
          <m:sup>
            <m:r>
              <m:rPr>
                <m:nor/>
                <m:sty m:val="p"/>
              </m:rPr>
              <m:t>−13</m:t>
            </m:r>
          </m:sup>
        </m:sSup>
      </m:oMath>
    </w:p>
    <w:p>
      <w:pPr>
        <w:pStyle w:val="NoteExampleGrey"/>
      </w:pPr>
      <w:r>
        <w:t xml:space="preserve">complexation:</w:t>
      </w:r>
      <w:r>
        <w:t xml:space="preserve"> </w:t>
      </w:r>
      <m:oMath>
        <m:sSup>
          <m:e>
            <m:r>
              <m:rPr>
                <m:nor/>
                <m:sty m:val="p"/>
              </m:rPr>
              <m:t>Ag</m:t>
            </m:r>
          </m:e>
          <m:sup>
            <m:r>
              <m:rPr>
                <m:nor/>
                <m:sty m:val="p"/>
              </m:rPr>
              <m:t>+</m:t>
            </m:r>
          </m:sup>
        </m:sSup>
        <m:d>
          <m:dPr>
            <m:begChr m:val="("/>
            <m:endChr m:val=")"/>
            <m:sepChr m:val=""/>
            <m:grow/>
          </m:dPr>
          <m:e>
            <m:r>
              <m:t>a</m:t>
            </m:r>
            <m:r>
              <m:t>q</m:t>
            </m:r>
          </m:e>
        </m:d>
        <m:r>
          <m:rPr>
            <m:sty m:val="p"/>
          </m:rPr>
          <m:t>+</m:t>
        </m:r>
        <m:sSub>
          <m:e>
            <m:r>
              <m:rPr>
                <m:nor/>
                <m:sty m:val="p"/>
              </m:rPr>
              <m:t>2S</m:t>
            </m:r>
          </m:e>
          <m:sub>
            <m:r>
              <m:t>2</m:t>
            </m:r>
          </m:sub>
        </m:sSub>
        <m:sSub>
          <m:e>
            <m:r>
              <m:rPr>
                <m:nor/>
                <m:sty m:val="p"/>
              </m:rPr>
              <m:t>O</m:t>
            </m:r>
          </m:e>
          <m:sub>
            <m:r>
              <m:t>3</m:t>
            </m:r>
          </m:sub>
        </m:sSub>
        <m:sSup>
          <m:e>
            <m:r>
              <m:t>​</m:t>
            </m:r>
          </m:e>
          <m:sup>
            <m:r>
              <m:rPr>
                <m:nor/>
                <m:sty m:val="p"/>
              </m:rPr>
              <m:t>2−</m:t>
            </m:r>
          </m:sup>
        </m:sSup>
        <m:d>
          <m:dPr>
            <m:begChr m:val="("/>
            <m:endChr m:val=")"/>
            <m:sepChr m:val=""/>
            <m:grow/>
          </m:dPr>
          <m:e>
            <m:r>
              <m:t>a</m:t>
            </m:r>
            <m:r>
              <m:t>q</m:t>
            </m:r>
          </m:e>
        </m:d>
        <m:r>
          <m:rPr>
            <m:sty m:val="p"/>
          </m:rPr>
          <m:t>⇌</m:t>
        </m:r>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rPr>
                <m:nor/>
                <m:sty m:val="p"/>
              </m:rPr>
              <m:t>3−</m:t>
            </m:r>
          </m:sup>
        </m:sSup>
        <m:d>
          <m:dPr>
            <m:begChr m:val="("/>
            <m:endChr m:val=")"/>
            <m:sepChr m:val=""/>
            <m:grow/>
          </m:dPr>
          <m:e>
            <m:r>
              <m:t>a</m:t>
            </m:r>
            <m:r>
              <m:t>q</m:t>
            </m:r>
          </m:e>
        </m:d>
        <m:r>
          <m:t>  </m:t>
        </m:r>
        <m:sSub>
          <m:e>
            <m:r>
              <m:t>K</m:t>
            </m:r>
          </m:e>
          <m:sub>
            <m:r>
              <m:rPr>
                <m:nor/>
                <m:sty m:val="p"/>
              </m:rPr>
              <m:t>f</m:t>
            </m:r>
          </m:sub>
        </m:sSub>
        <m:r>
          <m:rPr>
            <m:sty m:val="p"/>
          </m:rPr>
          <m:t>=</m:t>
        </m:r>
        <m:r>
          <m:t>4.7</m:t>
        </m:r>
        <m:r>
          <m:t> </m:t>
        </m:r>
        <m:r>
          <m:rPr>
            <m:sty m:val="p"/>
          </m:rPr>
          <m:t>×</m:t>
        </m:r>
        <m:r>
          <m:t> </m:t>
        </m:r>
        <m:sSup>
          <m:e>
            <m:r>
              <m:t>10</m:t>
            </m:r>
          </m:e>
          <m:sup>
            <m:r>
              <m:t>13</m:t>
            </m:r>
          </m:sup>
        </m:sSup>
      </m:oMath>
    </w:p>
    <w:p>
      <w:pPr>
        <w:pStyle w:val="NoteExampleGrey"/>
      </w:pPr>
      <w:r>
        <w:t xml:space="preserve">Combining these two equilibrium equations yields</w:t>
      </w:r>
    </w:p>
    <w:p>
      <w:pPr>
        <w:pStyle w:val="NoteExampleGrey"/>
      </w:pPr>
      <w:r>
        <w:drawing>
          <wp:inline>
            <wp:extent cx="4286250" cy="476250"/>
            <wp:effectExtent b="0" l="0" r="0" t="0"/>
            <wp:docPr descr="None" title="" id="89" name="Picture"/>
            <a:graphic>
              <a:graphicData uri="http://schemas.openxmlformats.org/drawingml/2006/picture">
                <pic:pic>
                  <pic:nvPicPr>
                    <pic:cNvPr descr="../resources/a97d2b6231275b220261609117b4edc0bb96ff5e" id="90" name="Picture"/>
                    <pic:cNvPicPr>
                      <a:picLocks noChangeArrowheads="1" noChangeAspect="1"/>
                    </pic:cNvPicPr>
                  </pic:nvPicPr>
                  <pic:blipFill>
                    <a:blip r:embed="rId88"/>
                    <a:stretch>
                      <a:fillRect/>
                    </a:stretch>
                  </pic:blipFill>
                  <pic:spPr bwMode="auto">
                    <a:xfrm>
                      <a:off x="0" y="0"/>
                      <a:ext cx="4286250" cy="476250"/>
                    </a:xfrm>
                    <a:prstGeom prst="rect">
                      <a:avLst/>
                    </a:prstGeom>
                    <a:noFill/>
                    <a:ln w="9525">
                      <a:noFill/>
                      <a:headEnd/>
                      <a:tailEnd/>
                    </a:ln>
                  </pic:spPr>
                </pic:pic>
              </a:graphicData>
            </a:graphic>
          </wp:inline>
        </w:drawing>
      </w:r>
    </w:p>
    <w:p>
      <w:pPr>
        <w:pStyle w:val="NoteExampleGrey"/>
      </w:pPr>
      <w:r>
        <w:t xml:space="preserve">The concentration of bromide resulting from dissolution of 1.00 g of AgBr in 1.00 L of solution is</w:t>
      </w:r>
    </w:p>
    <w:bookmarkStart w:id="91" w:name="fs-idm371607456"/>
    <w:p>
      <w:pPr>
        <w:pStyle w:val="NoteExampleGrey"/>
      </w:pPr>
      <m:oMath>
        <m:r>
          <m:rPr>
            <m:sty m:val="p"/>
          </m:rPr>
          <m:t>[</m:t>
        </m:r>
        <m:sSup>
          <m:e>
            <m:r>
              <m:rPr>
                <m:nor/>
                <m:sty m:val="p"/>
              </m:rPr>
              <m:t>Br</m:t>
            </m:r>
          </m:e>
          <m:sup>
            <m:r>
              <m:rPr>
                <m:sty m:val="p"/>
              </m:rPr>
              <m:t>–</m:t>
            </m:r>
          </m:sup>
        </m:sSup>
        <m:r>
          <m:rPr>
            <m:sty m:val="p"/>
          </m:rPr>
          <m:t>]</m:t>
        </m:r>
        <m:r>
          <m:rPr>
            <m:sty m:val="p"/>
          </m:rPr>
          <m:t>=</m:t>
        </m:r>
        <m:f>
          <m:fPr>
            <m:type m:val="bar"/>
          </m:fPr>
          <m:num>
            <m:r>
              <m:t>1.00</m:t>
            </m:r>
            <m:r>
              <m:t> </m:t>
            </m:r>
            <m:r>
              <m:rPr>
                <m:nor/>
                <m:sty m:val="p"/>
              </m:rPr>
              <m:t>g AgBr</m:t>
            </m:r>
            <m:r>
              <m:rPr>
                <m:sty m:val="p"/>
              </m:rPr>
              <m:t>×</m:t>
            </m:r>
            <m:f>
              <m:fPr>
                <m:type m:val="bar"/>
              </m:fPr>
              <m:num>
                <m:r>
                  <m:t>1</m:t>
                </m:r>
                <m:r>
                  <m:t> </m:t>
                </m:r>
                <m:r>
                  <m:rPr>
                    <m:nor/>
                    <m:sty m:val="p"/>
                  </m:rPr>
                  <m:t>mol AgBr</m:t>
                </m:r>
              </m:num>
              <m:den>
                <m:r>
                  <m:t>187.77</m:t>
                </m:r>
                <m:r>
                  <m:t> </m:t>
                </m:r>
                <m:r>
                  <m:rPr>
                    <m:nor/>
                    <m:sty m:val="p"/>
                  </m:rPr>
                  <m:t>g/mol</m:t>
                </m:r>
              </m:den>
            </m:f>
            <m:r>
              <m:rPr>
                <m:sty m:val="p"/>
              </m:rPr>
              <m:t>×</m:t>
            </m:r>
            <m:f>
              <m:fPr>
                <m:type m:val="bar"/>
              </m:fPr>
              <m:num>
                <m:r>
                  <m:t>1</m:t>
                </m:r>
                <m:r>
                  <m:t> </m:t>
                </m:r>
                <m:sSup>
                  <m:e>
                    <m:r>
                      <m:rPr>
                        <m:nor/>
                        <m:sty m:val="p"/>
                      </m:rPr>
                      <m:t>mol Br</m:t>
                    </m:r>
                  </m:e>
                  <m:sup>
                    <m:r>
                      <m:rPr>
                        <m:sty m:val="p"/>
                      </m:rPr>
                      <m:t>–</m:t>
                    </m:r>
                  </m:sup>
                </m:sSup>
              </m:num>
              <m:den>
                <m:r>
                  <m:t>1</m:t>
                </m:r>
                <m:r>
                  <m:t> </m:t>
                </m:r>
                <m:r>
                  <m:rPr>
                    <m:nor/>
                    <m:sty m:val="p"/>
                  </m:rPr>
                  <m:t>mol AgBr</m:t>
                </m:r>
              </m:den>
            </m:f>
          </m:num>
          <m:den>
            <m:r>
              <m:t>1.00</m:t>
            </m:r>
            <m:r>
              <m:t> </m:t>
            </m:r>
            <m:r>
              <m:rPr>
                <m:nor/>
                <m:sty m:val="p"/>
              </m:rPr>
              <m:t>L</m:t>
            </m:r>
          </m:den>
        </m:f>
        <m:r>
          <m:rPr>
            <m:sty m:val="p"/>
          </m:rPr>
          <m:t>=</m:t>
        </m:r>
        <m:r>
          <m:t>0.00532</m:t>
        </m:r>
        <m:r>
          <m:t> </m:t>
        </m:r>
        <m:r>
          <m:t>M</m:t>
        </m:r>
      </m:oMath>
    </w:p>
    <w:bookmarkEnd w:id="91"/>
    <w:p>
      <w:pPr>
        <w:pStyle w:val="NoteExampleGrey"/>
      </w:pPr>
      <w:r>
        <w:t xml:space="preserve">The stoichiometry of the dissolution equilibrium indicates the same concentration of aqueous silver ion will result, 0.00532 M, and the very large value of</w:t>
      </w:r>
      <w:r>
        <w:t xml:space="preserve"> </w:t>
      </w:r>
      <m:oMath>
        <m:sSub>
          <m:e>
            <m:r>
              <m:t>K</m:t>
            </m:r>
          </m:e>
          <m:sub>
            <m:r>
              <m:rPr>
                <m:nor/>
                <m:sty m:val="p"/>
              </m:rPr>
              <m:t>f</m:t>
            </m:r>
          </m:sub>
        </m:sSub>
      </m:oMath>
      <w:r>
        <w:t xml:space="preserve"> </w:t>
      </w:r>
      <w:r>
        <w:t xml:space="preserve">ensures that essentially all the dissolved silver ion will be complexed by thiosulfate ion:</w:t>
      </w:r>
    </w:p>
    <w:bookmarkStart w:id="92" w:name="fs-idm362932864"/>
    <w:p>
      <w:pPr>
        <w:pStyle w:val="NoteExampleGrey"/>
      </w:pPr>
      <m:oMath>
        <m:r>
          <m:rPr>
            <m:sty m:val="p"/>
          </m:rPr>
          <m:t>[</m:t>
        </m:r>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t>3</m:t>
            </m:r>
            <m:r>
              <m:rPr>
                <m:sty m:val="p"/>
              </m:rPr>
              <m:t>–</m:t>
            </m:r>
          </m:sup>
        </m:sSup>
        <m:r>
          <m:rPr>
            <m:sty m:val="p"/>
          </m:rPr>
          <m:t>]</m:t>
        </m:r>
        <m:r>
          <m:rPr>
            <m:sty m:val="p"/>
          </m:rPr>
          <m:t>=</m:t>
        </m:r>
        <m:r>
          <m:t>0.00532</m:t>
        </m:r>
        <m:r>
          <m:t> </m:t>
        </m:r>
        <m:r>
          <m:t>M</m:t>
        </m:r>
      </m:oMath>
    </w:p>
    <w:bookmarkEnd w:id="92"/>
    <w:p>
      <w:pPr>
        <w:pStyle w:val="NoteExampleGrey"/>
      </w:pPr>
      <w:r>
        <w:t xml:space="preserve">Rearranging the K expression for the combined equilibrium equations and solving for the concentration of thiosulfate ion yields</w:t>
      </w:r>
    </w:p>
    <w:bookmarkStart w:id="93" w:name="fs-idm366919280"/>
    <w:p>
      <w:pPr>
        <w:pStyle w:val="NoteExampleGrey"/>
      </w:pPr>
      <m:oMath>
        <m:r>
          <m:rPr>
            <m:sty m:val="p"/>
          </m:rPr>
          <m:t>[</m:t>
        </m:r>
        <m:sSub>
          <m:e>
            <m:r>
              <m:rPr>
                <m:nor/>
                <m:sty m:val="p"/>
              </m:rPr>
              <m:t>S</m:t>
            </m:r>
          </m:e>
          <m:sub>
            <m:r>
              <m:t>2</m:t>
            </m:r>
          </m:sub>
        </m:sSub>
        <m:sSup>
          <m:e>
            <m:sSub>
              <m:e>
                <m:r>
                  <m:rPr>
                    <m:nor/>
                    <m:sty m:val="p"/>
                  </m:rPr>
                  <m:t>O</m:t>
                </m:r>
              </m:e>
              <m:sub>
                <m:r>
                  <m:t>3</m:t>
                </m:r>
              </m:sub>
            </m:sSub>
          </m:e>
          <m:sup>
            <m:r>
              <m:t>2</m:t>
            </m:r>
            <m:r>
              <m:rPr>
                <m:sty m:val="p"/>
              </m:rPr>
              <m:t>–</m:t>
            </m:r>
          </m:sup>
        </m:sSup>
        <m:r>
          <m:rPr>
            <m:sty m:val="p"/>
          </m:rPr>
          <m:t>]</m:t>
        </m:r>
        <m:r>
          <m:rPr>
            <m:sty m:val="p"/>
          </m:rPr>
          <m:t>=</m:t>
        </m:r>
        <m:f>
          <m:fPr>
            <m:type m:val="bar"/>
          </m:fPr>
          <m:num>
            <m:rad>
              <m:radPr>
                <m:degHide m:val="1"/>
              </m:radPr>
              <m:deg/>
              <m:e>
                <m:r>
                  <m:rPr>
                    <m:sty m:val="p"/>
                  </m:rPr>
                  <m:t>[</m:t>
                </m:r>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t>3</m:t>
                    </m:r>
                    <m:r>
                      <m:rPr>
                        <m:sty m:val="p"/>
                      </m:rPr>
                      <m:t>–</m:t>
                    </m:r>
                  </m:sup>
                </m:sSup>
                <m:r>
                  <m:rPr>
                    <m:sty m:val="p"/>
                  </m:rPr>
                  <m:t>]</m:t>
                </m:r>
                <m:r>
                  <m:rPr>
                    <m:sty m:val="p"/>
                  </m:rPr>
                  <m:t>[</m:t>
                </m:r>
                <m:sSup>
                  <m:e>
                    <m:r>
                      <m:rPr>
                        <m:nor/>
                        <m:sty m:val="p"/>
                      </m:rPr>
                      <m:t>Br</m:t>
                    </m:r>
                  </m:e>
                  <m:sup>
                    <m:r>
                      <m:rPr>
                        <m:sty m:val="p"/>
                      </m:rPr>
                      <m:t>–</m:t>
                    </m:r>
                  </m:sup>
                </m:sSup>
                <m:r>
                  <m:rPr>
                    <m:sty m:val="p"/>
                  </m:rPr>
                  <m:t>]</m:t>
                </m:r>
              </m:e>
            </m:rad>
          </m:num>
          <m:den>
            <m:r>
              <m:t>K</m:t>
            </m:r>
          </m:den>
        </m:f>
        <m:r>
          <m:rPr>
            <m:sty m:val="p"/>
          </m:rPr>
          <m:t>=</m:t>
        </m:r>
        <m:rad>
          <m:radPr>
            <m:degHide m:val="1"/>
          </m:radPr>
          <m:deg/>
          <m:e>
            <m:f>
              <m:fPr>
                <m:type m:val="bar"/>
              </m:fPr>
              <m:num>
                <m:d>
                  <m:dPr>
                    <m:begChr m:val="("/>
                    <m:endChr m:val=")"/>
                    <m:sepChr m:val=""/>
                    <m:grow/>
                  </m:dPr>
                  <m:e>
                    <m:r>
                      <m:t>0.00532</m:t>
                    </m:r>
                    <m:r>
                      <m:t> </m:t>
                    </m:r>
                    <m:r>
                      <m:t>M</m:t>
                    </m:r>
                  </m:e>
                </m:d>
                <m:d>
                  <m:dPr>
                    <m:begChr m:val="("/>
                    <m:endChr m:val=")"/>
                    <m:sepChr m:val=""/>
                    <m:grow/>
                  </m:dPr>
                  <m:e>
                    <m:r>
                      <m:t>0.00532</m:t>
                    </m:r>
                    <m:r>
                      <m:t> </m:t>
                    </m:r>
                    <m:r>
                      <m:t>M</m:t>
                    </m:r>
                  </m:e>
                </m:d>
              </m:num>
              <m:den>
                <m:r>
                  <m:t>24</m:t>
                </m:r>
              </m:den>
            </m:f>
          </m:e>
        </m:rad>
        <m:r>
          <m:rPr>
            <m:sty m:val="p"/>
          </m:rPr>
          <m:t>=</m:t>
        </m:r>
        <m:r>
          <m:t>0.0011</m:t>
        </m:r>
        <m:r>
          <m:t> </m:t>
        </m:r>
        <m:r>
          <m:t>M</m:t>
        </m:r>
      </m:oMath>
    </w:p>
    <w:bookmarkEnd w:id="93"/>
    <w:p>
      <w:pPr>
        <w:pStyle w:val="NoteExampleGrey"/>
      </w:pPr>
      <w:r>
        <w:t xml:space="preserve">Finally, the total mass of</w:t>
      </w:r>
      <w:r>
        <w:t xml:space="preserve"> </w:t>
      </w:r>
      <m:oMath>
        <m:sSub>
          <m:e>
            <m:r>
              <m:rPr>
                <m:nor/>
                <m:sty m:val="p"/>
              </m:rPr>
              <m:t>Na</m:t>
            </m:r>
          </m:e>
          <m:sub>
            <m:r>
              <m:t>2</m:t>
            </m:r>
          </m:sub>
        </m:sSub>
        <m:sSub>
          <m:e>
            <m:r>
              <m:rPr>
                <m:nor/>
                <m:sty m:val="p"/>
              </m:rPr>
              <m:t>S</m:t>
            </m:r>
          </m:e>
          <m:sub>
            <m:r>
              <m:t>2</m:t>
            </m:r>
          </m:sub>
        </m:sSub>
        <m:sSub>
          <m:e>
            <m:r>
              <m:rPr>
                <m:nor/>
                <m:sty m:val="p"/>
              </m:rPr>
              <m:t>O</m:t>
            </m:r>
          </m:e>
          <m:sub>
            <m:r>
              <m:t>3</m:t>
            </m:r>
          </m:sub>
        </m:sSub>
      </m:oMath>
      <w:r>
        <w:t xml:space="preserve"> </w:t>
      </w:r>
      <w:r>
        <w:t xml:space="preserve">required to provide enough thiosulfate to yield the concentrations cited above can be calculated.</w:t>
      </w:r>
    </w:p>
    <w:p>
      <w:pPr>
        <w:pStyle w:val="NoteExampleGrey"/>
      </w:pPr>
      <w:r>
        <w:t xml:space="preserve">Mass of</w:t>
      </w:r>
      <w:r>
        <w:t xml:space="preserve"> </w:t>
      </w:r>
      <m:oMath>
        <m:sSub>
          <m:e>
            <m:r>
              <m:rPr>
                <m:nor/>
                <m:sty m:val="p"/>
              </m:rPr>
              <m:t>Na</m:t>
            </m:r>
          </m:e>
          <m:sub>
            <m:r>
              <m:t>2</m:t>
            </m:r>
          </m:sub>
        </m:sSub>
        <m:sSub>
          <m:e>
            <m:r>
              <m:rPr>
                <m:nor/>
                <m:sty m:val="p"/>
              </m:rPr>
              <m:t>S</m:t>
            </m:r>
          </m:e>
          <m:sub>
            <m:r>
              <m:t>2</m:t>
            </m:r>
          </m:sub>
        </m:sSub>
        <m:sSub>
          <m:e>
            <m:r>
              <m:rPr>
                <m:nor/>
                <m:sty m:val="p"/>
              </m:rPr>
              <m:t>O</m:t>
            </m:r>
          </m:e>
          <m:sub>
            <m:r>
              <m:t>3</m:t>
            </m:r>
          </m:sub>
        </m:sSub>
      </m:oMath>
      <w:r>
        <w:t xml:space="preserve"> </w:t>
      </w:r>
      <w:r>
        <w:t xml:space="preserve">required to yield 0.00532 M</w:t>
      </w:r>
      <w:r>
        <w:t xml:space="preserve"> </w:t>
      </w:r>
      <m:oMath>
        <m:r>
          <m:rPr>
            <m:nor/>
            <m:sty m:val="p"/>
          </m:rPr>
          <m:t>Ag</m:t>
        </m:r>
        <m:sSub>
          <m:e>
            <m:d>
              <m:dPr>
                <m:begChr m:val="("/>
                <m:endChr m:val=")"/>
                <m:sepChr m:val=""/>
                <m:grow/>
              </m:dPr>
              <m:e>
                <m:sSub>
                  <m:e>
                    <m:r>
                      <m:rPr>
                        <m:nor/>
                        <m:sty m:val="p"/>
                      </m:rPr>
                      <m:t>S</m:t>
                    </m:r>
                  </m:e>
                  <m:sub>
                    <m:r>
                      <m:t>2</m:t>
                    </m:r>
                  </m:sub>
                </m:sSub>
                <m:sSub>
                  <m:e>
                    <m:r>
                      <m:rPr>
                        <m:nor/>
                        <m:sty m:val="p"/>
                      </m:rPr>
                      <m:t>O</m:t>
                    </m:r>
                  </m:e>
                  <m:sub>
                    <m:r>
                      <m:t>2</m:t>
                    </m:r>
                  </m:sub>
                </m:sSub>
              </m:e>
            </m:d>
          </m:e>
          <m:sub>
            <m:r>
              <m:t>2</m:t>
            </m:r>
          </m:sub>
        </m:sSub>
        <m:sSup>
          <m:e>
            <m:r>
              <m:t>​</m:t>
            </m:r>
          </m:e>
          <m:sup>
            <m:r>
              <m:t>3</m:t>
            </m:r>
            <m:r>
              <m:rPr>
                <m:sty m:val="p"/>
              </m:rPr>
              <m:t>–</m:t>
            </m:r>
          </m:sup>
        </m:sSup>
      </m:oMath>
    </w:p>
    <w:bookmarkStart w:id="94" w:name="fs-idm330874144"/>
    <w:p>
      <w:pPr>
        <w:pStyle w:val="NoteExampleGrey"/>
      </w:pPr>
      <m:oMath>
        <m:r>
          <m:t>0.00532</m:t>
        </m:r>
        <m:f>
          <m:fPr>
            <m:type m:val="bar"/>
          </m:fPr>
          <m:num>
            <m:r>
              <m:rPr>
                <m:nor/>
                <m:sty m:val="p"/>
              </m:rPr>
              <m:t>mol</m:t>
            </m:r>
            <m:r>
              <m:t> </m:t>
            </m:r>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t>3</m:t>
                </m:r>
                <m:r>
                  <m:rPr>
                    <m:sty m:val="p"/>
                  </m:rPr>
                  <m:t>–</m:t>
                </m:r>
              </m:sup>
            </m:sSup>
          </m:num>
          <m:den>
            <m:r>
              <m:t>1.00</m:t>
            </m:r>
            <m:r>
              <m:t> </m:t>
            </m:r>
            <m:r>
              <m:rPr>
                <m:nor/>
                <m:sty m:val="p"/>
              </m:rPr>
              <m:t>L</m:t>
            </m:r>
          </m:den>
        </m:f>
        <m:r>
          <m:rPr>
            <m:sty m:val="p"/>
          </m:rPr>
          <m:t>×</m:t>
        </m:r>
        <m:f>
          <m:fPr>
            <m:type m:val="bar"/>
          </m:fPr>
          <m:num>
            <m:r>
              <m:t>2</m:t>
            </m:r>
            <m:r>
              <m:t> </m:t>
            </m:r>
            <m:r>
              <m:rPr>
                <m:nor/>
                <m:sty m:val="p"/>
              </m:rPr>
              <m:t>mol</m:t>
            </m:r>
            <m:r>
              <m:t> </m:t>
            </m:r>
            <m:sSub>
              <m:e>
                <m:r>
                  <m:rPr>
                    <m:nor/>
                    <m:sty m:val="p"/>
                  </m:rPr>
                  <m:t>S</m:t>
                </m:r>
              </m:e>
              <m:sub>
                <m:r>
                  <m:t>2</m:t>
                </m:r>
              </m:sub>
            </m:sSub>
            <m:sSub>
              <m:e>
                <m:r>
                  <m:rPr>
                    <m:nor/>
                    <m:sty m:val="p"/>
                  </m:rPr>
                  <m:t>O</m:t>
                </m:r>
              </m:e>
              <m:sub>
                <m:r>
                  <m:t>3</m:t>
                </m:r>
              </m:sub>
            </m:sSub>
            <m:sSup>
              <m:e>
                <m:r>
                  <m:t>​</m:t>
                </m:r>
              </m:e>
              <m:sup>
                <m:r>
                  <m:t>2</m:t>
                </m:r>
                <m:r>
                  <m:rPr>
                    <m:sty m:val="p"/>
                  </m:rPr>
                  <m:t>–</m:t>
                </m:r>
              </m:sup>
            </m:sSup>
          </m:num>
          <m:den>
            <m:r>
              <m:t>1</m:t>
            </m:r>
            <m:r>
              <m:t> </m:t>
            </m:r>
            <m:r>
              <m:rPr>
                <m:nor/>
                <m:sty m:val="p"/>
              </m:rPr>
              <m:t>mol</m:t>
            </m:r>
            <m:r>
              <m:t> </m:t>
            </m:r>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t>3</m:t>
                </m:r>
                <m:r>
                  <m:rPr>
                    <m:sty m:val="p"/>
                  </m:rPr>
                  <m:t>–</m:t>
                </m:r>
              </m:sup>
            </m:sSup>
          </m:den>
        </m:f>
        <m:r>
          <m:rPr>
            <m:sty m:val="p"/>
          </m:rPr>
          <m:t>×</m:t>
        </m:r>
        <m:f>
          <m:fPr>
            <m:type m:val="bar"/>
          </m:fPr>
          <m:num>
            <m:r>
              <m:t>1</m:t>
            </m:r>
            <m:r>
              <m:t> </m:t>
            </m:r>
            <m:r>
              <m:rPr>
                <m:nor/>
                <m:sty m:val="p"/>
              </m:rPr>
              <m:t>mol</m:t>
            </m:r>
            <m:r>
              <m:t> </m:t>
            </m:r>
            <m:sSub>
              <m:e>
                <m:r>
                  <m:rPr>
                    <m:nor/>
                    <m:sty m:val="p"/>
                  </m:rPr>
                  <m:t>Na</m:t>
                </m:r>
              </m:e>
              <m:sub>
                <m:r>
                  <m:t>2</m:t>
                </m:r>
              </m:sub>
            </m:sSub>
            <m:sSub>
              <m:e>
                <m:r>
                  <m:rPr>
                    <m:nor/>
                    <m:sty m:val="p"/>
                  </m:rPr>
                  <m:t>S</m:t>
                </m:r>
              </m:e>
              <m:sub>
                <m:r>
                  <m:t>2</m:t>
                </m:r>
              </m:sub>
            </m:sSub>
            <m:sSub>
              <m:e>
                <m:r>
                  <m:rPr>
                    <m:nor/>
                    <m:sty m:val="p"/>
                  </m:rPr>
                  <m:t>O</m:t>
                </m:r>
              </m:e>
              <m:sub>
                <m:r>
                  <m:t>3</m:t>
                </m:r>
              </m:sub>
            </m:sSub>
          </m:num>
          <m:den>
            <m:r>
              <m:t>1</m:t>
            </m:r>
            <m:r>
              <m:t> </m:t>
            </m:r>
            <m:r>
              <m:rPr>
                <m:nor/>
                <m:sty m:val="p"/>
              </m:rPr>
              <m:t>mol</m:t>
            </m:r>
            <m:r>
              <m:t> </m:t>
            </m:r>
            <m:sSub>
              <m:e>
                <m:r>
                  <m:rPr>
                    <m:nor/>
                    <m:sty m:val="p"/>
                  </m:rPr>
                  <m:t>S</m:t>
                </m:r>
              </m:e>
              <m:sub>
                <m:r>
                  <m:t>2</m:t>
                </m:r>
              </m:sub>
            </m:sSub>
            <m:sSub>
              <m:e>
                <m:r>
                  <m:rPr>
                    <m:nor/>
                    <m:sty m:val="p"/>
                  </m:rPr>
                  <m:t>O</m:t>
                </m:r>
              </m:e>
              <m:sub>
                <m:r>
                  <m:t>3</m:t>
                </m:r>
              </m:sub>
            </m:sSub>
            <m:sSup>
              <m:e>
                <m:r>
                  <m:t>​</m:t>
                </m:r>
              </m:e>
              <m:sup>
                <m:r>
                  <m:t>2</m:t>
                </m:r>
                <m:r>
                  <m:rPr>
                    <m:sty m:val="p"/>
                  </m:rPr>
                  <m:t>–</m:t>
                </m:r>
              </m:sup>
            </m:sSup>
          </m:den>
        </m:f>
        <m:r>
          <m:rPr>
            <m:sty m:val="p"/>
          </m:rPr>
          <m:t>×</m:t>
        </m:r>
        <m:f>
          <m:fPr>
            <m:type m:val="bar"/>
          </m:fPr>
          <m:num>
            <m:r>
              <m:t>158.1</m:t>
            </m:r>
            <m:r>
              <m:t> </m:t>
            </m:r>
            <m:r>
              <m:rPr>
                <m:nor/>
                <m:sty m:val="p"/>
              </m:rPr>
              <m:t>g</m:t>
            </m:r>
            <m:r>
              <m:t> </m:t>
            </m:r>
            <m:sSub>
              <m:e>
                <m:r>
                  <m:rPr>
                    <m:nor/>
                    <m:sty m:val="p"/>
                  </m:rPr>
                  <m:t>Na</m:t>
                </m:r>
              </m:e>
              <m:sub>
                <m:r>
                  <m:t>2</m:t>
                </m:r>
              </m:sub>
            </m:sSub>
            <m:sSub>
              <m:e>
                <m:r>
                  <m:rPr>
                    <m:nor/>
                    <m:sty m:val="p"/>
                  </m:rPr>
                  <m:t>S</m:t>
                </m:r>
              </m:e>
              <m:sub>
                <m:r>
                  <m:t>2</m:t>
                </m:r>
              </m:sub>
            </m:sSub>
            <m:sSub>
              <m:e>
                <m:r>
                  <m:rPr>
                    <m:nor/>
                    <m:sty m:val="p"/>
                  </m:rPr>
                  <m:t>O</m:t>
                </m:r>
              </m:e>
              <m:sub>
                <m:r>
                  <m:t>3</m:t>
                </m:r>
              </m:sub>
            </m:sSub>
          </m:num>
          <m:den>
            <m:r>
              <m:t>1</m:t>
            </m:r>
            <m:r>
              <m:t> </m:t>
            </m:r>
            <m:r>
              <m:rPr>
                <m:nor/>
                <m:sty m:val="p"/>
              </m:rPr>
              <m:t>mol</m:t>
            </m:r>
            <m:r>
              <m:t> </m:t>
            </m:r>
            <m:sSub>
              <m:e>
                <m:r>
                  <m:rPr>
                    <m:nor/>
                    <m:sty m:val="p"/>
                  </m:rPr>
                  <m:t>Na</m:t>
                </m:r>
              </m:e>
              <m:sub>
                <m:r>
                  <m:t>2</m:t>
                </m:r>
              </m:sub>
            </m:sSub>
            <m:sSub>
              <m:e>
                <m:r>
                  <m:rPr>
                    <m:nor/>
                    <m:sty m:val="p"/>
                  </m:rPr>
                  <m:t>S</m:t>
                </m:r>
              </m:e>
              <m:sub>
                <m:r>
                  <m:t>2</m:t>
                </m:r>
              </m:sub>
            </m:sSub>
            <m:sSub>
              <m:e>
                <m:r>
                  <m:rPr>
                    <m:nor/>
                    <m:sty m:val="p"/>
                  </m:rPr>
                  <m:t>O</m:t>
                </m:r>
              </m:e>
              <m:sub>
                <m:r>
                  <m:t>3</m:t>
                </m:r>
              </m:sub>
            </m:sSub>
          </m:den>
        </m:f>
        <m:r>
          <m:rPr>
            <m:sty m:val="p"/>
          </m:rPr>
          <m:t>=</m:t>
        </m:r>
        <m:r>
          <m:t>1.68</m:t>
        </m:r>
        <m:r>
          <m:t> </m:t>
        </m:r>
        <m:r>
          <m:rPr>
            <m:nor/>
            <m:sty m:val="p"/>
          </m:rPr>
          <m:t>g</m:t>
        </m:r>
      </m:oMath>
    </w:p>
    <w:bookmarkEnd w:id="94"/>
    <w:p>
      <w:pPr>
        <w:pStyle w:val="NoteExampleGrey"/>
      </w:pPr>
      <w:r>
        <w:t xml:space="preserve">Mass of</w:t>
      </w:r>
      <w:r>
        <w:t xml:space="preserve"> </w:t>
      </w:r>
      <m:oMath>
        <m:sSub>
          <m:e>
            <m:r>
              <m:rPr>
                <m:nor/>
                <m:sty m:val="p"/>
              </m:rPr>
              <m:t>Na</m:t>
            </m:r>
          </m:e>
          <m:sub>
            <m:r>
              <m:t>2</m:t>
            </m:r>
          </m:sub>
        </m:sSub>
        <m:sSub>
          <m:e>
            <m:r>
              <m:rPr>
                <m:nor/>
                <m:sty m:val="p"/>
              </m:rPr>
              <m:t>S</m:t>
            </m:r>
          </m:e>
          <m:sub>
            <m:r>
              <m:t>2</m:t>
            </m:r>
          </m:sub>
        </m:sSub>
        <m:sSub>
          <m:e>
            <m:r>
              <m:rPr>
                <m:nor/>
                <m:sty m:val="p"/>
              </m:rPr>
              <m:t>O</m:t>
            </m:r>
          </m:e>
          <m:sub>
            <m:r>
              <m:t>3</m:t>
            </m:r>
          </m:sub>
        </m:sSub>
      </m:oMath>
      <w:r>
        <w:t xml:space="preserve"> </w:t>
      </w:r>
      <w:r>
        <w:t xml:space="preserve">required to yield 0.00110 M</w:t>
      </w:r>
      <w:r>
        <w:t xml:space="preserve"> </w:t>
      </w:r>
      <m:oMath>
        <m:sSub>
          <m:e>
            <m:r>
              <m:rPr>
                <m:nor/>
                <m:sty m:val="p"/>
              </m:rPr>
              <m:t>S</m:t>
            </m:r>
          </m:e>
          <m:sub>
            <m:r>
              <m:t>2</m:t>
            </m:r>
          </m:sub>
        </m:sSub>
        <m:sSub>
          <m:e>
            <m:r>
              <m:rPr>
                <m:nor/>
                <m:sty m:val="p"/>
              </m:rPr>
              <m:t>O</m:t>
            </m:r>
          </m:e>
          <m:sub>
            <m:r>
              <m:t>3</m:t>
            </m:r>
          </m:sub>
        </m:sSub>
        <m:sSup>
          <m:e>
            <m:r>
              <m:t>​</m:t>
            </m:r>
          </m:e>
          <m:sup>
            <m:r>
              <m:t>2</m:t>
            </m:r>
            <m:r>
              <m:rPr>
                <m:sty m:val="p"/>
              </m:rPr>
              <m:t>–</m:t>
            </m:r>
          </m:sup>
        </m:sSup>
      </m:oMath>
    </w:p>
    <w:bookmarkStart w:id="95" w:name="eip-108"/>
    <w:p>
      <w:pPr>
        <w:pStyle w:val="NoteExampleGrey"/>
      </w:pPr>
      <m:oMath>
        <m:r>
          <m:t>0.0011</m:t>
        </m:r>
        <m:f>
          <m:fPr>
            <m:type m:val="bar"/>
          </m:fPr>
          <m:num>
            <m:r>
              <m:rPr>
                <m:nor/>
                <m:sty m:val="p"/>
              </m:rPr>
              <m:t>mol</m:t>
            </m:r>
            <m:r>
              <m:t> </m:t>
            </m:r>
            <m:sSub>
              <m:e>
                <m:r>
                  <m:rPr>
                    <m:nor/>
                    <m:sty m:val="p"/>
                  </m:rPr>
                  <m:t>S</m:t>
                </m:r>
              </m:e>
              <m:sub>
                <m:r>
                  <m:t>2</m:t>
                </m:r>
              </m:sub>
            </m:sSub>
            <m:sSub>
              <m:e>
                <m:r>
                  <m:rPr>
                    <m:nor/>
                    <m:sty m:val="p"/>
                  </m:rPr>
                  <m:t>O</m:t>
                </m:r>
              </m:e>
              <m:sub>
                <m:r>
                  <m:t>3</m:t>
                </m:r>
              </m:sub>
            </m:sSub>
            <m:sSup>
              <m:e>
                <m:r>
                  <m:t>​</m:t>
                </m:r>
              </m:e>
              <m:sup>
                <m:r>
                  <m:t>2</m:t>
                </m:r>
                <m:r>
                  <m:rPr>
                    <m:sty m:val="p"/>
                  </m:rPr>
                  <m:t>–</m:t>
                </m:r>
              </m:sup>
            </m:sSup>
          </m:num>
          <m:den>
            <m:r>
              <m:t>1.00</m:t>
            </m:r>
            <m:r>
              <m:t> </m:t>
            </m:r>
            <m:r>
              <m:rPr>
                <m:nor/>
                <m:sty m:val="p"/>
              </m:rPr>
              <m:t>L</m:t>
            </m:r>
          </m:den>
        </m:f>
        <m:r>
          <m:rPr>
            <m:sty m:val="p"/>
          </m:rPr>
          <m:t>×</m:t>
        </m:r>
        <m:f>
          <m:fPr>
            <m:type m:val="bar"/>
          </m:fPr>
          <m:num>
            <m:r>
              <m:t>1</m:t>
            </m:r>
            <m:r>
              <m:t> </m:t>
            </m:r>
            <m:r>
              <m:rPr>
                <m:nor/>
                <m:sty m:val="p"/>
              </m:rPr>
              <m:t>mol</m:t>
            </m:r>
            <m:r>
              <m:t> </m:t>
            </m:r>
            <m:sSub>
              <m:e>
                <m:r>
                  <m:rPr>
                    <m:nor/>
                    <m:sty m:val="p"/>
                  </m:rPr>
                  <m:t>S</m:t>
                </m:r>
              </m:e>
              <m:sub>
                <m:r>
                  <m:t>2</m:t>
                </m:r>
              </m:sub>
            </m:sSub>
            <m:sSub>
              <m:e>
                <m:r>
                  <m:rPr>
                    <m:nor/>
                    <m:sty m:val="p"/>
                  </m:rPr>
                  <m:t>O</m:t>
                </m:r>
              </m:e>
              <m:sub>
                <m:r>
                  <m:t>3</m:t>
                </m:r>
              </m:sub>
            </m:sSub>
            <m:sSup>
              <m:e>
                <m:r>
                  <m:t>​</m:t>
                </m:r>
              </m:e>
              <m:sup>
                <m:r>
                  <m:t>2</m:t>
                </m:r>
                <m:r>
                  <m:rPr>
                    <m:sty m:val="p"/>
                  </m:rPr>
                  <m:t>–</m:t>
                </m:r>
              </m:sup>
            </m:sSup>
          </m:num>
          <m:den>
            <m:r>
              <m:t>1</m:t>
            </m:r>
            <m:r>
              <m:t> </m:t>
            </m:r>
            <m:r>
              <m:rPr>
                <m:nor/>
                <m:sty m:val="p"/>
              </m:rPr>
              <m:t>mol</m:t>
            </m:r>
            <m:r>
              <m:t> </m:t>
            </m:r>
            <m:sSub>
              <m:e>
                <m:r>
                  <m:rPr>
                    <m:nor/>
                    <m:sty m:val="p"/>
                  </m:rPr>
                  <m:t>Na</m:t>
                </m:r>
              </m:e>
              <m:sub>
                <m:r>
                  <m:t>2</m:t>
                </m:r>
              </m:sub>
            </m:sSub>
            <m:sSub>
              <m:e>
                <m:r>
                  <m:rPr>
                    <m:nor/>
                    <m:sty m:val="p"/>
                  </m:rPr>
                  <m:t>S</m:t>
                </m:r>
              </m:e>
              <m:sub>
                <m:r>
                  <m:t>2</m:t>
                </m:r>
              </m:sub>
            </m:sSub>
            <m:sSub>
              <m:e>
                <m:r>
                  <m:rPr>
                    <m:nor/>
                    <m:sty m:val="p"/>
                  </m:rPr>
                  <m:t>O</m:t>
                </m:r>
              </m:e>
              <m:sub>
                <m:r>
                  <m:t>3</m:t>
                </m:r>
              </m:sub>
            </m:sSub>
          </m:den>
        </m:f>
        <m:r>
          <m:rPr>
            <m:sty m:val="p"/>
          </m:rPr>
          <m:t>×</m:t>
        </m:r>
        <m:f>
          <m:fPr>
            <m:type m:val="bar"/>
          </m:fPr>
          <m:num>
            <m:r>
              <m:t>158.1</m:t>
            </m:r>
            <m:r>
              <m:t> </m:t>
            </m:r>
            <m:r>
              <m:rPr>
                <m:nor/>
                <m:sty m:val="p"/>
              </m:rPr>
              <m:t>g</m:t>
            </m:r>
            <m:r>
              <m:t> </m:t>
            </m:r>
            <m:sSub>
              <m:e>
                <m:r>
                  <m:rPr>
                    <m:nor/>
                    <m:sty m:val="p"/>
                  </m:rPr>
                  <m:t>Na</m:t>
                </m:r>
              </m:e>
              <m:sub>
                <m:r>
                  <m:t>2</m:t>
                </m:r>
              </m:sub>
            </m:sSub>
            <m:sSub>
              <m:e>
                <m:r>
                  <m:rPr>
                    <m:nor/>
                    <m:sty m:val="p"/>
                  </m:rPr>
                  <m:t>S</m:t>
                </m:r>
              </m:e>
              <m:sub>
                <m:r>
                  <m:t>2</m:t>
                </m:r>
              </m:sub>
            </m:sSub>
            <m:sSub>
              <m:e>
                <m:r>
                  <m:rPr>
                    <m:nor/>
                    <m:sty m:val="p"/>
                  </m:rPr>
                  <m:t>O</m:t>
                </m:r>
              </m:e>
              <m:sub>
                <m:r>
                  <m:t>3</m:t>
                </m:r>
              </m:sub>
            </m:sSub>
          </m:num>
          <m:den>
            <m:r>
              <m:t>1</m:t>
            </m:r>
            <m:r>
              <m:t> </m:t>
            </m:r>
            <m:r>
              <m:rPr>
                <m:nor/>
                <m:sty m:val="p"/>
              </m:rPr>
              <m:t>mol</m:t>
            </m:r>
            <m:r>
              <m:t> </m:t>
            </m:r>
            <m:sSub>
              <m:e>
                <m:r>
                  <m:rPr>
                    <m:nor/>
                    <m:sty m:val="p"/>
                  </m:rPr>
                  <m:t>Na</m:t>
                </m:r>
              </m:e>
              <m:sub>
                <m:r>
                  <m:t>2</m:t>
                </m:r>
              </m:sub>
            </m:sSub>
            <m:sSub>
              <m:e>
                <m:r>
                  <m:rPr>
                    <m:nor/>
                    <m:sty m:val="p"/>
                  </m:rPr>
                  <m:t>S</m:t>
                </m:r>
              </m:e>
              <m:sub>
                <m:r>
                  <m:t>2</m:t>
                </m:r>
              </m:sub>
            </m:sSub>
            <m:sSub>
              <m:e>
                <m:r>
                  <m:rPr>
                    <m:nor/>
                    <m:sty m:val="p"/>
                  </m:rPr>
                  <m:t>O</m:t>
                </m:r>
              </m:e>
              <m:sub>
                <m:r>
                  <m:t>3</m:t>
                </m:r>
              </m:sub>
            </m:sSub>
          </m:den>
        </m:f>
        <m:r>
          <m:rPr>
            <m:sty m:val="p"/>
          </m:rPr>
          <m:t>=</m:t>
        </m:r>
        <m:r>
          <m:t>0.17</m:t>
        </m:r>
        <m:r>
          <m:t> </m:t>
        </m:r>
        <m:r>
          <m:rPr>
            <m:nor/>
            <m:sty m:val="p"/>
          </m:rPr>
          <m:t>g</m:t>
        </m:r>
      </m:oMath>
    </w:p>
    <w:p>
      <w:pPr>
        <w:pStyle w:val="NoteExampleGrey"/>
      </w:pPr>
      <w:r>
        <w:t xml:space="preserve">15.1</w:t>
      </w:r>
    </w:p>
    <w:bookmarkEnd w:id="95"/>
    <w:p>
      <w:pPr>
        <w:pStyle w:val="NoteExampleGrey"/>
      </w:pPr>
      <w:r>
        <w:t xml:space="preserve">The mass of</w:t>
      </w:r>
      <w:r>
        <w:t xml:space="preserve"> </w:t>
      </w:r>
      <m:oMath>
        <m:sSub>
          <m:e>
            <m:r>
              <m:rPr>
                <m:nor/>
                <m:sty m:val="p"/>
              </m:rPr>
              <m:t>Na</m:t>
            </m:r>
          </m:e>
          <m:sub>
            <m:r>
              <m:t>2</m:t>
            </m:r>
          </m:sub>
        </m:sSub>
        <m:sSub>
          <m:e>
            <m:r>
              <m:rPr>
                <m:nor/>
                <m:sty m:val="p"/>
              </m:rPr>
              <m:t>S</m:t>
            </m:r>
          </m:e>
          <m:sub>
            <m:r>
              <m:t>2</m:t>
            </m:r>
          </m:sub>
        </m:sSub>
        <m:sSub>
          <m:e>
            <m:r>
              <m:rPr>
                <m:nor/>
                <m:sty m:val="p"/>
              </m:rPr>
              <m:t>O</m:t>
            </m:r>
          </m:e>
          <m:sub>
            <m:r>
              <m:t>3</m:t>
            </m:r>
          </m:sub>
        </m:sSub>
      </m:oMath>
      <w:r>
        <w:t xml:space="preserve"> </w:t>
      </w:r>
      <w:r>
        <w:t xml:space="preserve">required to dissolve 1.00 g of AgBr in 1.00 L of water is thus 1.68 g + 0.17 g = 1.85 g</w:t>
      </w:r>
    </w:p>
    <w:p>
      <w:pPr>
        <w:pStyle w:val="Heading4Grey"/>
      </w:pPr>
      <w:r>
        <w:t xml:space="preserve">Check Your Learning</w:t>
      </w:r>
    </w:p>
    <w:p>
      <w:pPr>
        <w:pStyle w:val="NoteExampleGrey"/>
      </w:pPr>
      <w:r>
        <w:t xml:space="preserve">AgCl(</w:t>
      </w:r>
      <w:r>
        <w:rPr>
          <w:iCs/>
          <w:i/>
        </w:rPr>
        <w:t xml:space="preserve">s</w:t>
      </w:r>
      <w:r>
        <w:t xml:space="preserve">), silver chloride, has a very low solubility:</w:t>
      </w:r>
      <w:r>
        <w:t xml:space="preserve"> </w:t>
      </w:r>
      <m:oMath>
        <m:r>
          <m:rPr>
            <m:nor/>
            <m:sty m:val="p"/>
          </m:rPr>
          <m:t>AgCl</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rPr>
            <m:sty m:val="p"/>
          </m:rPr>
          <m:t>,</m:t>
        </m:r>
      </m:oMath>
      <w:r>
        <w:t xml:space="preserve"> </w:t>
      </w:r>
      <w:r>
        <w:rPr>
          <w:iCs/>
          <w:i/>
        </w:rPr>
        <w:t xml:space="preserve">K</w:t>
      </w:r>
      <w:r>
        <w:rPr>
          <w:vertAlign w:val="subscript"/>
        </w:rPr>
        <w:t xml:space="preserve">sp</w:t>
      </w:r>
      <w:r>
        <w:t xml:space="preserve"> </w:t>
      </w:r>
      <w:r>
        <w:t xml:space="preserve">= 1.6</w:t>
      </w:r>
      <w:r>
        <w:t xml:space="preserve"> </w:t>
      </w:r>
      <m:oMath>
        <m:r>
          <m:rPr>
            <m:sty m:val="p"/>
          </m:rPr>
          <m:t>×</m:t>
        </m:r>
      </m:oMath>
      <w:r>
        <w:t xml:space="preserve"> </w:t>
      </w:r>
      <w:r>
        <w:t xml:space="preserve">10</w:t>
      </w:r>
      <w:r>
        <w:rPr>
          <w:vertAlign w:val="superscript"/>
        </w:rPr>
        <w:t xml:space="preserve">–10</w:t>
      </w:r>
      <w:r>
        <w:t xml:space="preserve">. Adding ammonia significantly increases the solubility of AgCl because a complex ion is formed:</w:t>
      </w:r>
      <w:r>
        <w:t xml:space="preserve"> </w:t>
      </w:r>
      <m:oMath>
        <m:sSup>
          <m:e>
            <m:r>
              <m:rPr>
                <m:nor/>
                <m:sty m:val="p"/>
              </m:rPr>
              <m:t>Ag</m:t>
            </m:r>
          </m:e>
          <m:sup>
            <m:r>
              <m:rPr>
                <m:nor/>
                <m:sty m:val="p"/>
              </m:rPr>
              <m:t>+</m:t>
            </m:r>
          </m:sup>
        </m:sSup>
        <m:d>
          <m:dPr>
            <m:begChr m:val="("/>
            <m:endChr m:val=")"/>
            <m:sepChr m:val=""/>
            <m:grow/>
          </m:dPr>
          <m:e>
            <m:r>
              <m:t>a</m:t>
            </m:r>
            <m:r>
              <m:t>q</m:t>
            </m:r>
          </m:e>
        </m:d>
        <m:r>
          <m:rPr>
            <m:sty m:val="p"/>
          </m:rPr>
          <m:t>+</m:t>
        </m:r>
        <m:r>
          <m:t>2</m:t>
        </m:r>
        <m:sSub>
          <m:e>
            <m:r>
              <m:rPr>
                <m:nor/>
                <m:sty m:val="p"/>
              </m:rPr>
              <m:t>NH</m:t>
            </m:r>
          </m:e>
          <m:sub>
            <m:r>
              <m:t>3</m:t>
            </m:r>
          </m:sub>
        </m:sSub>
        <m:d>
          <m:dPr>
            <m:begChr m:val="("/>
            <m:endChr m:val=")"/>
            <m:sepChr m:val=""/>
            <m:grow/>
          </m:dPr>
          <m:e>
            <m:r>
              <m:t>a</m:t>
            </m:r>
            <m:r>
              <m:t>q</m:t>
            </m:r>
          </m:e>
        </m:d>
        <m:r>
          <m:rPr>
            <m:sty m:val="p"/>
          </m:rPr>
          <m:t>⇌</m:t>
        </m:r>
        <m:r>
          <m:rPr>
            <m:nor/>
            <m:sty m:val="p"/>
          </m:rPr>
          <m:t>Ag</m:t>
        </m:r>
        <m:sSub>
          <m:e>
            <m:d>
              <m:dPr>
                <m:begChr m:val="("/>
                <m:endChr m:val=")"/>
                <m:sepChr m:val=""/>
                <m:grow/>
              </m:dPr>
              <m:e>
                <m:sSub>
                  <m:e>
                    <m:r>
                      <m:rPr>
                        <m:nor/>
                        <m:sty m:val="p"/>
                      </m:rPr>
                      <m:t>NH</m:t>
                    </m:r>
                  </m:e>
                  <m:sub>
                    <m:r>
                      <m:t>3</m:t>
                    </m:r>
                  </m:sub>
                </m:sSub>
              </m:e>
            </m:d>
          </m:e>
          <m:sub>
            <m:r>
              <m:t>2</m:t>
            </m:r>
          </m:sub>
        </m:sSub>
        <m:sSup>
          <m:e>
            <m:r>
              <m:t>​</m:t>
            </m:r>
          </m:e>
          <m:sup>
            <m:r>
              <m:rPr>
                <m:sty m:val="p"/>
              </m:rPr>
              <m:t>+</m:t>
            </m:r>
          </m:sup>
        </m:sSup>
        <m:d>
          <m:dPr>
            <m:begChr m:val="("/>
            <m:endChr m:val=")"/>
            <m:sepChr m:val=""/>
            <m:grow/>
          </m:dPr>
          <m:e>
            <m:r>
              <m:t>a</m:t>
            </m:r>
            <m:r>
              <m:t>q</m:t>
            </m:r>
          </m:e>
        </m:d>
        <m:r>
          <m:rPr>
            <m:sty m:val="p"/>
          </m:rPr>
          <m:t>,</m:t>
        </m:r>
      </m:oMath>
      <w:r>
        <w:t xml:space="preserve"> </w:t>
      </w:r>
      <w:r>
        <w:rPr>
          <w:iCs/>
          <w:i/>
        </w:rPr>
        <w:t xml:space="preserve">K</w:t>
      </w:r>
      <w:r>
        <w:rPr>
          <w:vertAlign w:val="subscript"/>
        </w:rPr>
        <w:t xml:space="preserve">f</w:t>
      </w:r>
      <w:r>
        <w:t xml:space="preserve"> </w:t>
      </w:r>
      <w:r>
        <w:t xml:space="preserve">= 1.7</w:t>
      </w:r>
      <w:r>
        <w:t xml:space="preserve"> </w:t>
      </w:r>
      <m:oMath>
        <m:r>
          <m:rPr>
            <m:sty m:val="p"/>
          </m:rPr>
          <m:t>×</m:t>
        </m:r>
      </m:oMath>
      <w:r>
        <w:t xml:space="preserve"> </w:t>
      </w:r>
      <w:r>
        <w:t xml:space="preserve">10</w:t>
      </w:r>
      <w:r>
        <w:rPr>
          <w:vertAlign w:val="superscript"/>
        </w:rPr>
        <w:t xml:space="preserve">7</w:t>
      </w:r>
      <w:r>
        <w:t xml:space="preserve">. What mass of NH</w:t>
      </w:r>
      <w:r>
        <w:rPr>
          <w:vertAlign w:val="subscript"/>
        </w:rPr>
        <w:t xml:space="preserve">3</w:t>
      </w:r>
      <w:r>
        <w:t xml:space="preserve"> </w:t>
      </w:r>
      <w:r>
        <w:t xml:space="preserve">is required to prepare 1.00 L of solution that will dissolve 2.00 g of AgCl by formation of</w:t>
      </w:r>
      <w:r>
        <w:t xml:space="preserve"> </w:t>
      </w:r>
      <m:oMath>
        <m:r>
          <m:rPr>
            <m:nor/>
            <m:sty m:val="p"/>
          </m:rPr>
          <m:t>Ag</m:t>
        </m:r>
        <m:sSub>
          <m:e>
            <m:d>
              <m:dPr>
                <m:begChr m:val="("/>
                <m:endChr m:val=")"/>
                <m:sepChr m:val=""/>
                <m:grow/>
              </m:dPr>
              <m:e>
                <m:sSub>
                  <m:e>
                    <m:r>
                      <m:rPr>
                        <m:nor/>
                        <m:sty m:val="p"/>
                      </m:rPr>
                      <m:t>NH</m:t>
                    </m:r>
                  </m:e>
                  <m:sub>
                    <m:r>
                      <m:t>3</m:t>
                    </m:r>
                  </m:sub>
                </m:sSub>
              </m:e>
            </m:d>
          </m:e>
          <m:sub>
            <m:r>
              <m:t>2</m:t>
            </m:r>
          </m:sub>
        </m:sSub>
        <m:sSup>
          <m:e>
            <m:r>
              <m:t>​</m:t>
            </m:r>
          </m:e>
          <m:sup>
            <m:r>
              <m:rPr>
                <m:nor/>
                <m:sty m:val="p"/>
              </m:rPr>
              <m:t>+</m:t>
            </m:r>
          </m:sup>
        </m:sSup>
        <m:r>
          <m:rPr>
            <m:sty m:val="p"/>
          </m:rPr>
          <m:t>?</m:t>
        </m:r>
      </m:oMath>
    </w:p>
    <w:bookmarkStart w:id="96" w:name="fs-idm81440704"/>
    <w:p>
      <w:pPr>
        <w:pStyle w:val="Heading3Grey"/>
      </w:pPr>
      <w:r>
        <w:t xml:space="preserve">Answer:</w:t>
      </w:r>
    </w:p>
    <w:p>
      <w:pPr>
        <w:pStyle w:val="NoteExampleGrey"/>
      </w:pPr>
      <w:r>
        <w:t xml:space="preserve">1.00 L of a solution prepared with 5.0 g NH</w:t>
      </w:r>
      <w:r>
        <w:rPr>
          <w:vertAlign w:val="subscript"/>
        </w:rPr>
        <w:t xml:space="preserve">3</w:t>
      </w:r>
      <w:r>
        <w:t xml:space="preserve"> </w:t>
      </w:r>
      <w:r>
        <w:t xml:space="preserve">dissolves 2.0 g of AgCl.</w:t>
      </w:r>
    </w:p>
    <w:bookmarkEnd w:id="96"/>
    <w:bookmarkEnd w:id="97"/>
    <w:bookmarkEnd w:id="98"/>
    <w:bookmarkEnd w:id="9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4" Target="media/rId74.so" /><Relationship Type="http://schemas.openxmlformats.org/officeDocument/2006/relationships/image" Id="rId53" Target="media/rId53.so" /><Relationship Type="http://schemas.openxmlformats.org/officeDocument/2006/relationships/image" Id="rId66" Target="media/rId66.so" /><Relationship Type="http://schemas.openxmlformats.org/officeDocument/2006/relationships/image" Id="rId36" Target="media/rId36.so" /><Relationship Type="http://schemas.openxmlformats.org/officeDocument/2006/relationships/image" Id="rId62" Target="media/rId62.so" /><Relationship Type="http://schemas.openxmlformats.org/officeDocument/2006/relationships/image" Id="rId24" Target="media/rId24.so" /><Relationship Type="http://schemas.openxmlformats.org/officeDocument/2006/relationships/image" Id="rId78" Target="media/rId78.so" /><Relationship Type="http://schemas.openxmlformats.org/officeDocument/2006/relationships/image" Id="rId28" Target="media/rId28.so" /><Relationship Type="http://schemas.openxmlformats.org/officeDocument/2006/relationships/image" Id="rId84" Target="media/rId84.so" /><Relationship Type="http://schemas.openxmlformats.org/officeDocument/2006/relationships/image" Id="rId88" Target="media/rId88.so" /><Relationship Type="http://schemas.openxmlformats.org/officeDocument/2006/relationships/image" Id="rId44" Target="media/rId44.so" /><Relationship Type="http://schemas.openxmlformats.org/officeDocument/2006/relationships/image" Id="rId70" Target="media/rId70.so" /><Relationship Type="http://schemas.openxmlformats.org/officeDocument/2006/relationships/image" Id="rId58" Target="media/rId58.so" /><Relationship Type="http://schemas.openxmlformats.org/officeDocument/2006/relationships/image" Id="rId32" Target="media/rId32.so" /><Relationship Type="http://schemas.openxmlformats.org/officeDocument/2006/relationships/hyperlink" Id="rId40" Target="http://openstax.org/l/16acidicocean" TargetMode="External" /><Relationship Type="http://schemas.openxmlformats.org/officeDocument/2006/relationships/hyperlink" Id="rId41" Target="http://openstax.org/l/16coralreef"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0" Target="http://openstax.org/l/16acidicocean" TargetMode="External" /><Relationship Type="http://schemas.openxmlformats.org/officeDocument/2006/relationships/hyperlink" Id="rId41" Target="http://openstax.org/l/16coralre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2025-01-24T22:29:06Z</dcterms:created>
  <dcterms:modified xsi:type="dcterms:W3CDTF">2025-01-24T22:29:06Z</dcterms:modified>
</cp:coreProperties>
</file>

<file path=docProps/custom.xml><?xml version="1.0" encoding="utf-8"?>
<Properties xmlns="http://schemas.openxmlformats.org/officeDocument/2006/custom-properties" xmlns:vt="http://schemas.openxmlformats.org/officeDocument/2006/docPropsVTypes"/>
</file>