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so" ContentType="application/octet-stream"/>
  <Override PartName="/word/media/rId28.so" ContentType="application/octet-stream"/>
  <Override PartName="/word/media/rId66.so" ContentType="application/octet-stream"/>
  <Override PartName="/word/media/rId32.so" ContentType="application/octet-stream"/>
  <Override PartName="/word/media/rId43.so" ContentType="application/octet-stream"/>
  <Override PartName="/word/media/rId62.so" ContentType="application/octet-stream"/>
  <Override PartName="/word/media/rId47.so" ContentType="application/octet-stream"/>
  <Override PartName="/word/media/rId39.so" ContentType="application/octet-stream"/>
  <Override PartName="/word/media/rId7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0174bb25c3a87320232d8055f0029c31b98d94e"/>
    <w:bookmarkStart w:id="84" w:name="X059665910e58f0805ef0c81cc294032aceeaa52"/>
    <w:p>
      <w:pPr>
        <w:pStyle w:val="Heading2"/>
      </w:pPr>
      <w:r>
        <w:t xml:space="preserve">17.4</w:t>
      </w:r>
      <w:r>
        <w:t xml:space="preserve"> </w:t>
      </w:r>
      <w:r>
        <w:t xml:space="preserve"> </w:t>
      </w:r>
      <w:r>
        <w:t xml:space="preserve"> </w:t>
      </w:r>
      <w:r>
        <w:t xml:space="preserve">Potential, Free Energy, and Equilibrium</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relations between potential, free energy change, and equilibrium constants</w:t>
      </w:r>
    </w:p>
    <w:p>
      <w:pPr>
        <w:numPr>
          <w:ilvl w:val="0"/>
          <w:numId w:val="1001"/>
        </w:numPr>
        <w:pStyle w:val="Compact"/>
      </w:pPr>
      <w:r>
        <w:t xml:space="preserve">Perform calculations involving the relations between cell potentials, free energy changes, and equilibrium</w:t>
      </w:r>
    </w:p>
    <w:p>
      <w:pPr>
        <w:numPr>
          <w:ilvl w:val="0"/>
          <w:numId w:val="1001"/>
        </w:numPr>
        <w:pStyle w:val="Compact"/>
      </w:pPr>
      <w:r>
        <w:t xml:space="preserve">Use the Nernst equation to determine cell potentials under nonstandard conditions</w:t>
      </w:r>
    </w:p>
    <w:bookmarkEnd w:id="20"/>
    <w:p>
      <w:pPr>
        <w:pStyle w:val="FirstParagraph"/>
      </w:pPr>
      <w:r>
        <w:t xml:space="preserve">So far in this chapter, the relationship between the cell potential and reaction</w:t>
      </w:r>
      <w:r>
        <w:t xml:space="preserve"> </w:t>
      </w:r>
      <w:r>
        <w:rPr>
          <w:iCs/>
          <w:i/>
        </w:rPr>
        <w:t xml:space="preserve">spontaneity</w:t>
      </w:r>
      <w:r>
        <w:t xml:space="preserve"> </w:t>
      </w:r>
      <w:r>
        <w:t xml:space="preserve">has been described, suggesting a link to the free energy change for the reaction (see chapter on thermodynamics). The interpretation of potentials as measures of oxidant</w:t>
      </w:r>
      <w:r>
        <w:t xml:space="preserve"> </w:t>
      </w:r>
      <w:r>
        <w:rPr>
          <w:iCs/>
          <w:i/>
        </w:rPr>
        <w:t xml:space="preserve">strength</w:t>
      </w:r>
      <w:r>
        <w:t xml:space="preserve"> </w:t>
      </w:r>
      <w:r>
        <w:t xml:space="preserve">was presented, bringing to mind similar measures of acid-base strength as reflected in equilibrium constants (see the chapter on acid-base equilibria). This section provides a summary of the relationships between potential and the related thermodynamic properties ΔG and K.</w:t>
      </w:r>
    </w:p>
    <w:bookmarkStart w:id="27" w:name="fs-idm248064976"/>
    <w:bookmarkStart w:id="26" w:name="e-and-δg"/>
    <w:p>
      <w:pPr>
        <w:pStyle w:val="Heading3"/>
      </w:pPr>
      <w:r>
        <w:t xml:space="preserve">E° and ΔG°</w:t>
      </w:r>
    </w:p>
    <w:p>
      <w:pPr>
        <w:pStyle w:val="FirstParagraph"/>
      </w:pPr>
      <w:r>
        <w:t xml:space="preserve">The standard free energy change of a process, Δ</w:t>
      </w:r>
      <w:r>
        <w:rPr>
          <w:iCs/>
          <w:i/>
        </w:rPr>
        <w:t xml:space="preserve">G</w:t>
      </w:r>
      <w:r>
        <w:t xml:space="preserve">°, was defined in a previous chapter as the maximum work that could be performed by a system,</w:t>
      </w:r>
      <w:r>
        <w:t xml:space="preserve"> </w:t>
      </w:r>
      <w:r>
        <w:rPr>
          <w:iCs/>
          <w:i/>
        </w:rPr>
        <w:t xml:space="preserve">w</w:t>
      </w:r>
      <w:r>
        <w:rPr>
          <w:vertAlign w:val="subscript"/>
        </w:rPr>
        <w:t xml:space="preserve">max</w:t>
      </w:r>
      <w:r>
        <w:t xml:space="preserve">. In the case of a redox reaction taking place within a galvanic cell under standard state conditions, essentially all the work is associated with transferring the electrons from reductant-to-oxidant,</w:t>
      </w:r>
      <w:r>
        <w:t xml:space="preserve"> </w:t>
      </w:r>
      <w:r>
        <w:rPr>
          <w:iCs/>
          <w:i/>
        </w:rPr>
        <w:t xml:space="preserve">w</w:t>
      </w:r>
      <w:r>
        <w:rPr>
          <w:vertAlign w:val="subscript"/>
        </w:rPr>
        <w:t xml:space="preserve">elec</w:t>
      </w:r>
      <w:r>
        <w:t xml:space="preserve">:</w:t>
      </w:r>
    </w:p>
    <w:bookmarkStart w:id="21" w:name="fs-idm215765968"/>
    <w:p>
      <w:pPr>
        <w:pStyle w:val="TextBody"/>
      </w:pPr>
      <m:oMath>
        <m:r>
          <m:rPr>
            <m:nor/>
            <m:sty m:val="p"/>
          </m:rPr>
          <m:t>Δ</m:t>
        </m:r>
        <m:r>
          <m:t>G</m:t>
        </m:r>
        <m:r>
          <m:rPr>
            <m:nor/>
            <m:sty m:val="p"/>
          </m:rPr>
          <m:t>°</m:t>
        </m:r>
        <m:r>
          <m:rPr>
            <m:sty m:val="p"/>
          </m:rPr>
          <m:t>=</m:t>
        </m:r>
        <m:sSub>
          <m:e>
            <m:r>
              <m:t>w</m:t>
            </m:r>
          </m:e>
          <m:sub>
            <m:r>
              <m:rPr>
                <m:nor/>
                <m:sty m:val="p"/>
              </m:rPr>
              <m:t>max</m:t>
            </m:r>
          </m:sub>
        </m:sSub>
        <m:r>
          <m:rPr>
            <m:sty m:val="p"/>
          </m:rPr>
          <m:t>=</m:t>
        </m:r>
        <m:sSub>
          <m:e>
            <m:r>
              <m:t>w</m:t>
            </m:r>
          </m:e>
          <m:sub>
            <m:r>
              <m:rPr>
                <m:nor/>
                <m:sty m:val="p"/>
              </m:rPr>
              <m:t>elec</m:t>
            </m:r>
          </m:sub>
        </m:sSub>
      </m:oMath>
    </w:p>
    <w:bookmarkEnd w:id="21"/>
    <w:p>
      <w:pPr>
        <w:pStyle w:val="TextBody"/>
      </w:pPr>
      <w:r>
        <w:t xml:space="preserve">The work associated with transferring electrons is determined by the total amount of charge (coulombs) transferred and the cell potential:</w:t>
      </w:r>
    </w:p>
    <w:bookmarkStart w:id="25" w:name="fs-idm655964560"/>
    <w:p>
      <w:pPr>
        <w:pStyle w:val="TextBody"/>
      </w:pPr>
      <w:r>
        <w:drawing>
          <wp:inline>
            <wp:extent cx="1724025" cy="390525"/>
            <wp:effectExtent b="0" l="0" r="0" t="0"/>
            <wp:docPr descr="None" title="" id="23" name="Picture"/>
            <a:graphic>
              <a:graphicData uri="http://schemas.openxmlformats.org/drawingml/2006/picture">
                <pic:pic>
                  <pic:nvPicPr>
                    <pic:cNvPr descr="../resources/1ed308fcd20f3122dc40642145a084b9d21572d0" id="24" name="Picture"/>
                    <pic:cNvPicPr>
                      <a:picLocks noChangeArrowheads="1" noChangeAspect="1"/>
                    </pic:cNvPicPr>
                  </pic:nvPicPr>
                  <pic:blipFill>
                    <a:blip r:embed="rId22"/>
                    <a:stretch>
                      <a:fillRect/>
                    </a:stretch>
                  </pic:blipFill>
                  <pic:spPr bwMode="auto">
                    <a:xfrm>
                      <a:off x="0" y="0"/>
                      <a:ext cx="1724025" cy="390525"/>
                    </a:xfrm>
                    <a:prstGeom prst="rect">
                      <a:avLst/>
                    </a:prstGeom>
                    <a:noFill/>
                    <a:ln w="9525">
                      <a:noFill/>
                      <a:headEnd/>
                      <a:tailEnd/>
                    </a:ln>
                  </pic:spPr>
                </pic:pic>
              </a:graphicData>
            </a:graphic>
          </wp:inline>
        </w:drawing>
      </w:r>
    </w:p>
    <w:bookmarkEnd w:id="25"/>
    <w:p>
      <w:pPr>
        <w:pStyle w:val="TextBody"/>
      </w:pPr>
      <w:r>
        <w:t xml:space="preserve">where</w:t>
      </w:r>
      <w:r>
        <w:t xml:space="preserve"> </w:t>
      </w:r>
      <w:r>
        <w:rPr>
          <w:iCs/>
          <w:i/>
        </w:rPr>
        <w:t xml:space="preserve">n</w:t>
      </w:r>
      <w:r>
        <w:t xml:space="preserve"> </w:t>
      </w:r>
      <w:r>
        <w:t xml:space="preserve">is the number of moles of electrons transferred,</w:t>
      </w:r>
      <w:r>
        <w:t xml:space="preserve"> </w:t>
      </w:r>
      <w:r>
        <w:rPr>
          <w:iCs/>
          <w:i/>
        </w:rPr>
        <w:t xml:space="preserve">F</w:t>
      </w:r>
      <w:r>
        <w:t xml:space="preserve"> </w:t>
      </w:r>
      <w:r>
        <w:t xml:space="preserve">is</w:t>
      </w:r>
      <w:r>
        <w:t xml:space="preserve"> </w:t>
      </w:r>
      <w:r>
        <w:rPr>
          <w:bCs/>
          <w:b/>
        </w:rPr>
        <w:t xml:space="preserve">Faraday’s constant</w:t>
      </w:r>
      <w:r>
        <w:t xml:space="preserve">, and</w:t>
      </w:r>
      <w:r>
        <w:t xml:space="preserve"> </w:t>
      </w:r>
      <w:r>
        <w:rPr>
          <w:iCs/>
          <w:i/>
        </w:rPr>
        <w:t xml:space="preserve">E</w:t>
      </w:r>
      <w:r>
        <w:t xml:space="preserve">°</w:t>
      </w:r>
      <w:r>
        <w:rPr>
          <w:vertAlign w:val="subscript"/>
        </w:rPr>
        <w:t xml:space="preserve">cell</w:t>
      </w:r>
      <w:r>
        <w:t xml:space="preserve"> </w:t>
      </w:r>
      <w:r>
        <w:t xml:space="preserve">is the standard cell potential. The relation between free energy change and standard cell potential confirms the sign conventions and spontaneity criteria previously discussed for both of these properties: spontaneous redox reactions exhibit positive potentials and negative free energy changes.</w:t>
      </w:r>
    </w:p>
    <w:bookmarkEnd w:id="26"/>
    <w:bookmarkEnd w:id="27"/>
    <w:bookmarkStart w:id="55" w:name="fs-idm218866032"/>
    <w:bookmarkStart w:id="54" w:name="e-and-k"/>
    <w:p>
      <w:pPr>
        <w:pStyle w:val="Heading3"/>
      </w:pPr>
      <w:r>
        <w:t xml:space="preserve">E° and K</w:t>
      </w:r>
    </w:p>
    <w:p>
      <w:pPr>
        <w:pStyle w:val="FirstParagraph"/>
      </w:pPr>
      <w:r>
        <w:t xml:space="preserve">Combining a previously derived relation between ΔG° and K (see the chapter on thermodynamics) and the equation above relating ΔG° and</w:t>
      </w:r>
      <w:r>
        <w:t xml:space="preserve"> </w:t>
      </w:r>
      <w:r>
        <w:rPr>
          <w:iCs/>
          <w:i/>
        </w:rPr>
        <w:t xml:space="preserve">E</w:t>
      </w:r>
      <w:r>
        <w:t xml:space="preserve">°</w:t>
      </w:r>
      <w:r>
        <w:rPr>
          <w:vertAlign w:val="subscript"/>
        </w:rPr>
        <w:t xml:space="preserve">cell</w:t>
      </w:r>
      <w:r>
        <w:t xml:space="preserve"> </w:t>
      </w:r>
      <w:r>
        <w:t xml:space="preserve">yields the following:</w:t>
      </w:r>
    </w:p>
    <w:bookmarkStart w:id="31" w:name="fs-idm205421792"/>
    <w:p>
      <w:pPr>
        <w:pStyle w:val="TextBody"/>
      </w:pPr>
      <w:r>
        <w:drawing>
          <wp:inline>
            <wp:extent cx="2076450" cy="409575"/>
            <wp:effectExtent b="0" l="0" r="0" t="0"/>
            <wp:docPr descr="None" title="" id="29" name="Picture"/>
            <a:graphic>
              <a:graphicData uri="http://schemas.openxmlformats.org/drawingml/2006/picture">
                <pic:pic>
                  <pic:nvPicPr>
                    <pic:cNvPr descr="../resources/3f208e346c86f0c3f183591982cc0a53affc91ae" id="30" name="Picture"/>
                    <pic:cNvPicPr>
                      <a:picLocks noChangeArrowheads="1" noChangeAspect="1"/>
                    </pic:cNvPicPr>
                  </pic:nvPicPr>
                  <pic:blipFill>
                    <a:blip r:embed="rId28"/>
                    <a:stretch>
                      <a:fillRect/>
                    </a:stretch>
                  </pic:blipFill>
                  <pic:spPr bwMode="auto">
                    <a:xfrm>
                      <a:off x="0" y="0"/>
                      <a:ext cx="2076450" cy="409575"/>
                    </a:xfrm>
                    <a:prstGeom prst="rect">
                      <a:avLst/>
                    </a:prstGeom>
                    <a:noFill/>
                    <a:ln w="9525">
                      <a:noFill/>
                      <a:headEnd/>
                      <a:tailEnd/>
                    </a:ln>
                  </pic:spPr>
                </pic:pic>
              </a:graphicData>
            </a:graphic>
          </wp:inline>
        </w:drawing>
      </w:r>
    </w:p>
    <w:bookmarkEnd w:id="31"/>
    <w:p>
      <w:pPr>
        <w:pStyle w:val="TextBody"/>
      </w:pPr>
      <w:r>
        <w:t xml:space="preserve">This equation indicates redox reactions with large (positive) standard cell potentials will proceed far towards completion, reaching equilibrium when the majority of reactant has been converted to product. A summary of the relations between</w:t>
      </w:r>
      <w:r>
        <w:t xml:space="preserve"> </w:t>
      </w:r>
      <w:r>
        <w:rPr>
          <w:iCs/>
          <w:i/>
        </w:rPr>
        <w:t xml:space="preserve">E</w:t>
      </w:r>
      <w:r>
        <w:t xml:space="preserve">°, Δ</w:t>
      </w:r>
      <w:r>
        <w:rPr>
          <w:iCs/>
          <w:i/>
        </w:rPr>
        <w:t xml:space="preserve">G</w:t>
      </w:r>
      <w:r>
        <w:t xml:space="preserve">° and</w:t>
      </w:r>
      <w:r>
        <w:t xml:space="preserve"> </w:t>
      </w:r>
      <w:r>
        <w:rPr>
          <w:iCs/>
          <w:i/>
        </w:rPr>
        <w:t xml:space="preserve">K</w:t>
      </w:r>
      <w:r>
        <w:t xml:space="preserve"> </w:t>
      </w:r>
      <w:r>
        <w:t xml:space="preserve">is depicted in</w:t>
      </w:r>
      <w:r>
        <w:t xml:space="preserve"> </w:t>
      </w:r>
      <w:hyperlink w:anchor="CNX_Chem_17_04_Relation">
        <w:r>
          <w:rPr>
            <w:rStyle w:val="InternetLink"/>
          </w:rPr>
          <w:t xml:space="preserve">Figure 17.7</w:t>
        </w:r>
      </w:hyperlink>
      <w:r>
        <w:t xml:space="preserve">, and a table correlating reaction spontaneity to values of these properties is provided in</w:t>
      </w:r>
      <w:r>
        <w:t xml:space="preserve"> </w:t>
      </w:r>
      <w:hyperlink w:anchor="fs-idm241340256">
        <w:r>
          <w:rPr>
            <w:rStyle w:val="InternetLink"/>
          </w:rPr>
          <w:t xml:space="preserve">Table 17.2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5" w:name="fs-idp78132768"/>
            <w:r>
              <w:t xml:space="preserve"> </w:t>
            </w:r>
            <w:r>
              <w:drawing>
                <wp:inline>
                  <wp:extent cx="2971800" cy="1705356"/>
                  <wp:effectExtent b="0" l="0" r="0" t="0"/>
                  <wp:docPr descr="A diagram is shown that involves three double headed arrows positioned in the shape of an equilateral triangle. The vertices are labeled in red. The top vertex is labeled “K.“ The vertex at the lower left is labeled “delta G superscript degree symbol.” The vertex at the lower right is labeled “E superscript degree symbol subscript cell.” The right side of the triangle is labeled “E superscript degree symbol subscript cell equals ( R T divided by n F ) l n K.” The lower side of the triangle is labeled “delta G superscript degree symbol equals negative n F E superscript degree symbol subscript cell.” The left side of the triangle is labeled “delta G superscript degree symbol equals negative R T l n K.”" title="" id="33" name="Picture"/>
                  <a:graphic>
                    <a:graphicData uri="http://schemas.openxmlformats.org/drawingml/2006/picture">
                      <pic:pic>
                        <pic:nvPicPr>
                          <pic:cNvPr descr="../resources/69a1f2bc09eecddd44a880839e1ded370958a900" id="34" name="Picture"/>
                          <pic:cNvPicPr>
                            <a:picLocks noChangeArrowheads="1" noChangeAspect="1"/>
                          </pic:cNvPicPr>
                        </pic:nvPicPr>
                        <pic:blipFill>
                          <a:blip r:embed="rId32"/>
                          <a:stretch>
                            <a:fillRect/>
                          </a:stretch>
                        </pic:blipFill>
                        <pic:spPr bwMode="auto">
                          <a:xfrm>
                            <a:off x="0" y="0"/>
                            <a:ext cx="2971800" cy="1705356"/>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17.7</w:t>
      </w:r>
      <w:r>
        <w:t xml:space="preserve"> </w:t>
      </w:r>
      <w:r>
        <w:t xml:space="preserve"> </w:t>
      </w:r>
      <w:r>
        <w:t xml:space="preserve"> </w:t>
      </w:r>
      <w:r>
        <w:t xml:space="preserve">Graphic depicting the relation between three important thermodynamic properties.</w:t>
      </w:r>
    </w:p>
    <w:bookmarkStart w:id="36" w:name="fs-idm241340256"/>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left"/>
            </w:pPr>
            <w:r>
              <w:rPr>
                <w:iCs/>
                <w:i/>
              </w:rPr>
              <w:t xml:space="preserve">K</w:t>
            </w:r>
          </w:p>
        </w:tc>
        <w:tc>
          <w:tcPr/>
          <w:p>
            <w:pPr>
              <w:pStyle w:val="Compact"/>
              <w:jc w:val="left"/>
            </w:pPr>
            <w:r>
              <w:t xml:space="preserve">Δ</w:t>
            </w:r>
            <w:r>
              <w:rPr>
                <w:iCs/>
                <w:i/>
              </w:rPr>
              <w:t xml:space="preserve">G</w:t>
            </w:r>
            <w:r>
              <w:t xml:space="preserve">°</w:t>
            </w:r>
          </w:p>
        </w:tc>
        <w:tc>
          <w:tcPr/>
          <w:p>
            <w:pPr>
              <w:pStyle w:val="Compact"/>
              <w:jc w:val="left"/>
            </w:pPr>
            <w:r>
              <w:rPr>
                <w:iCs/>
                <w:i/>
              </w:rPr>
              <w:t xml:space="preserve">E</w:t>
            </w:r>
            <w:r>
              <w:t xml:space="preserve">°</w:t>
            </w:r>
            <w:r>
              <w:rPr>
                <w:vertAlign w:val="subscript"/>
              </w:rPr>
              <w:t xml:space="preserve">cell</w:t>
            </w:r>
          </w:p>
        </w:tc>
        <w:tc>
          <w:tcPr/>
          <w:p>
            <w:pPr>
              <w:pStyle w:val="Compact"/>
              <w:jc w:val="left"/>
            </w:pPr>
            <w:r>
              <w:t xml:space="preserve"> </w:t>
            </w:r>
          </w:p>
        </w:tc>
      </w:tr>
      <w:tr>
        <w:tc>
          <w:tcPr/>
          <w:p>
            <w:pPr>
              <w:pStyle w:val="Compact"/>
              <w:jc w:val="left"/>
            </w:pPr>
            <w:r>
              <w:t xml:space="preserve">&gt; 1</w:t>
            </w:r>
          </w:p>
        </w:tc>
        <w:tc>
          <w:tcPr/>
          <w:p>
            <w:pPr>
              <w:pStyle w:val="Compact"/>
              <w:jc w:val="left"/>
            </w:pPr>
            <w:r>
              <w:t xml:space="preserve">&lt; 0</w:t>
            </w:r>
          </w:p>
        </w:tc>
        <w:tc>
          <w:tcPr/>
          <w:p>
            <w:pPr>
              <w:pStyle w:val="Compact"/>
              <w:jc w:val="left"/>
            </w:pPr>
            <w:r>
              <w:t xml:space="preserve">&gt; 0</w:t>
            </w:r>
          </w:p>
        </w:tc>
        <w:tc>
          <w:tcPr/>
          <w:p>
            <w:pPr>
              <w:jc w:val="left"/>
            </w:pPr>
            <w:r>
              <w:t xml:space="preserve">Reaction is spontaneous under standard conditions</w:t>
            </w:r>
          </w:p>
          <w:p>
            <w:pPr>
              <w:jc w:val="left"/>
            </w:pPr>
            <w:r>
              <w:t xml:space="preserve">Products more abundant at equilibrium</w:t>
            </w:r>
          </w:p>
        </w:tc>
      </w:tr>
      <w:tr>
        <w:tc>
          <w:tcPr/>
          <w:p>
            <w:pPr>
              <w:pStyle w:val="Compact"/>
              <w:jc w:val="left"/>
            </w:pPr>
            <w:r>
              <w:t xml:space="preserve">&lt; 1</w:t>
            </w:r>
          </w:p>
        </w:tc>
        <w:tc>
          <w:tcPr/>
          <w:p>
            <w:pPr>
              <w:pStyle w:val="Compact"/>
              <w:jc w:val="left"/>
            </w:pPr>
            <w:r>
              <w:t xml:space="preserve">&gt; 0</w:t>
            </w:r>
          </w:p>
        </w:tc>
        <w:tc>
          <w:tcPr/>
          <w:p>
            <w:pPr>
              <w:pStyle w:val="Compact"/>
              <w:jc w:val="left"/>
            </w:pPr>
            <w:r>
              <w:t xml:space="preserve">&lt; 0</w:t>
            </w:r>
          </w:p>
        </w:tc>
        <w:tc>
          <w:tcPr/>
          <w:p>
            <w:pPr>
              <w:jc w:val="left"/>
            </w:pPr>
            <w:r>
              <w:t xml:space="preserve">Reaction is non-spontaneous under standard conditions</w:t>
            </w:r>
          </w:p>
          <w:p>
            <w:pPr>
              <w:jc w:val="left"/>
            </w:pPr>
            <w:r>
              <w:t xml:space="preserve">Reactants more abundant at equilibrium</w:t>
            </w:r>
          </w:p>
        </w:tc>
      </w:tr>
      <w:tr>
        <w:tc>
          <w:tcPr/>
          <w:p>
            <w:pPr>
              <w:pStyle w:val="Compact"/>
              <w:jc w:val="left"/>
            </w:pPr>
            <w:r>
              <w:t xml:space="preserve">= 1</w:t>
            </w:r>
          </w:p>
        </w:tc>
        <w:tc>
          <w:tcPr/>
          <w:p>
            <w:pPr>
              <w:pStyle w:val="Compact"/>
              <w:jc w:val="left"/>
            </w:pPr>
            <w:r>
              <w:t xml:space="preserve">= 0</w:t>
            </w:r>
          </w:p>
        </w:tc>
        <w:tc>
          <w:tcPr/>
          <w:p>
            <w:pPr>
              <w:pStyle w:val="Compact"/>
              <w:jc w:val="left"/>
            </w:pPr>
            <w:r>
              <w:t xml:space="preserve">= 0</w:t>
            </w:r>
          </w:p>
        </w:tc>
        <w:tc>
          <w:tcPr/>
          <w:p>
            <w:pPr>
              <w:jc w:val="left"/>
            </w:pPr>
            <w:r>
              <w:t xml:space="preserve">Reaction is at equilibrium under standard conditions</w:t>
            </w:r>
          </w:p>
          <w:p>
            <w:pPr>
              <w:jc w:val="left"/>
            </w:pPr>
            <w:r>
              <w:t xml:space="preserve">Reactants and products equally abundant</w:t>
            </w:r>
          </w:p>
        </w:tc>
      </w:tr>
    </w:tbl>
    <w:bookmarkEnd w:id="36"/>
    <w:p>
      <w:pPr>
        <w:pStyle w:val="TextBody"/>
      </w:pPr>
      <w:r>
        <w:t xml:space="preserve">Table</w:t>
      </w:r>
      <w:r>
        <w:t xml:space="preserve"> </w:t>
      </w:r>
      <w:r>
        <w:t xml:space="preserve"> </w:t>
      </w:r>
      <w:r>
        <w:t xml:space="preserve">17.2</w:t>
      </w:r>
      <w:r>
        <w:t xml:space="preserve"> </w:t>
      </w:r>
      <w:r>
        <w:t xml:space="preserve"> </w:t>
      </w:r>
      <w:r>
        <w:t xml:space="preserve"> </w:t>
      </w:r>
      <w:r>
        <w:t xml:space="preserve"> </w:t>
      </w:r>
    </w:p>
    <w:bookmarkStart w:id="53" w:name="fs-idp16667568"/>
    <w:p>
      <w:pPr>
        <w:pStyle w:val="Heading3Grey"/>
      </w:pPr>
      <w:r>
        <w:t xml:space="preserve">Example</w:t>
      </w:r>
      <w:r>
        <w:t xml:space="preserve"> </w:t>
      </w:r>
      <w:r>
        <w:t xml:space="preserve"> </w:t>
      </w:r>
      <w:r>
        <w:t xml:space="preserve">17.6</w:t>
      </w:r>
      <w:r>
        <w:t xml:space="preserve"> </w:t>
      </w:r>
      <w:r>
        <w:t xml:space="preserve"> </w:t>
      </w:r>
    </w:p>
    <w:p>
      <w:pPr>
        <w:pStyle w:val="Heading4Grey"/>
      </w:pPr>
      <w:r>
        <w:t xml:space="preserve">Equilibrium Constants, Standard Cell Potentials, and Standard Free Energy Changes</w:t>
      </w:r>
    </w:p>
    <w:p>
      <w:pPr>
        <w:pStyle w:val="NoteExampleGrey"/>
      </w:pPr>
      <w:r>
        <w:t xml:space="preserve">Use data from</w:t>
      </w:r>
      <w:r>
        <w:t xml:space="preserve"> </w:t>
      </w:r>
      <w:hyperlink r:id="rId37">
        <w:r>
          <w:rPr>
            <w:rStyle w:val="InternetLink"/>
          </w:rPr>
          <w:t xml:space="preserve">Appendix L</w:t>
        </w:r>
      </w:hyperlink>
      <w:r>
        <w:t xml:space="preserve"> </w:t>
      </w:r>
      <w:r>
        <w:t xml:space="preserve">to calculate the standard cell potential, standard free energy change, and equilibrium constant for the following reaction at 25 °C. Comment on the spontaneity of the forward reaction and the composition of an equilibrium mixture of reactants and products.</w:t>
      </w:r>
    </w:p>
    <w:bookmarkStart w:id="38" w:name="fs-idm89214592"/>
    <w:p>
      <w:pPr>
        <w:pStyle w:val="NoteExampleGrey"/>
      </w:pPr>
      <m:oMath>
        <m:r>
          <m:t>2</m:t>
        </m:r>
        <m:sSup>
          <m:e>
            <m:r>
              <m:rPr>
                <m:nor/>
                <m:sty m:val="p"/>
              </m:rPr>
              <m:t>Ag</m:t>
            </m:r>
          </m:e>
          <m:sup>
            <m:r>
              <m:rPr>
                <m:nor/>
                <m:sty m:val="p"/>
              </m:rPr>
              <m:t>+</m:t>
            </m:r>
          </m:sup>
        </m:sSup>
        <m:d>
          <m:dPr>
            <m:begChr m:val="("/>
            <m:endChr m:val=")"/>
            <m:sepChr m:val=""/>
            <m:grow/>
          </m:dPr>
          <m:e>
            <m:r>
              <m:t>a</m:t>
            </m:r>
            <m:r>
              <m:t>q</m:t>
            </m:r>
          </m:e>
        </m:d>
        <m:r>
          <m:rPr>
            <m:sty m:val="p"/>
          </m:rPr>
          <m:t>+</m:t>
        </m:r>
        <m:r>
          <m:rPr>
            <m:nor/>
            <m:sty m:val="p"/>
          </m:rPr>
          <m:t>Fe</m:t>
        </m:r>
        <m:d>
          <m:dPr>
            <m:begChr m:val="("/>
            <m:endChr m:val=")"/>
            <m:sepChr m:val=""/>
            <m:grow/>
          </m:dPr>
          <m:e>
            <m:r>
              <m:t>s</m:t>
            </m:r>
          </m:e>
        </m:d>
        <m:r>
          <m:rPr>
            <m:sty m:val="p"/>
          </m:rPr>
          <m:t>⇌</m:t>
        </m:r>
        <m:r>
          <m:rPr>
            <m:nor/>
            <m:sty m:val="p"/>
          </m:rPr>
          <m:t>2Ag</m:t>
        </m:r>
        <m:d>
          <m:dPr>
            <m:begChr m:val="("/>
            <m:endChr m:val=")"/>
            <m:sepChr m:val=""/>
            <m:grow/>
          </m:dPr>
          <m:e>
            <m:r>
              <m:t>s</m:t>
            </m:r>
          </m:e>
        </m:d>
        <m:r>
          <m:rPr>
            <m:sty m:val="p"/>
          </m:rPr>
          <m:t>+</m:t>
        </m:r>
        <m:sSup>
          <m:e>
            <m:r>
              <m:rPr>
                <m:nor/>
                <m:sty m:val="p"/>
              </m:rPr>
              <m:t>Fe</m:t>
            </m:r>
          </m:e>
          <m:sup>
            <m:r>
              <m:t>2</m:t>
            </m:r>
            <m:r>
              <m:rPr>
                <m:sty m:val="p"/>
              </m:rPr>
              <m:t>+</m:t>
            </m:r>
          </m:sup>
        </m:sSup>
        <m:d>
          <m:dPr>
            <m:begChr m:val="("/>
            <m:endChr m:val=")"/>
            <m:sepChr m:val=""/>
            <m:grow/>
          </m:dPr>
          <m:e>
            <m:r>
              <m:t>a</m:t>
            </m:r>
            <m:r>
              <m:t>q</m:t>
            </m:r>
          </m:e>
        </m:d>
      </m:oMath>
    </w:p>
    <w:bookmarkEnd w:id="38"/>
    <w:p>
      <w:pPr>
        <w:pStyle w:val="Heading4Grey"/>
      </w:pPr>
      <w:r>
        <w:t xml:space="preserve">Solution</w:t>
      </w:r>
    </w:p>
    <w:p>
      <w:pPr>
        <w:pStyle w:val="NoteExampleGrey"/>
      </w:pPr>
      <w:r>
        <w:t xml:space="preserve">The reaction involves an oxidation-reduction reaction, so the standard cell potential can be calculated using the data in</w:t>
      </w:r>
      <w:r>
        <w:t xml:space="preserve"> </w:t>
      </w:r>
      <w:hyperlink r:id="rId37">
        <w:r>
          <w:rPr>
            <w:rStyle w:val="InternetLink"/>
          </w:rPr>
          <w:t xml:space="preserve">Appendix L</w:t>
        </w:r>
      </w:hyperlink>
      <w:r>
        <w:t xml:space="preserve">.</w:t>
      </w:r>
    </w:p>
    <w:bookmarkStart w:id="42" w:name="fs-idm7297840"/>
    <w:p>
      <w:pPr>
        <w:pStyle w:val="NoteExampleGrey"/>
      </w:pPr>
      <w:r>
        <w:drawing>
          <wp:inline>
            <wp:extent cx="5705475" cy="762000"/>
            <wp:effectExtent b="0" l="0" r="0" t="0"/>
            <wp:docPr descr="None" title="" id="40" name="Picture"/>
            <a:graphic>
              <a:graphicData uri="http://schemas.openxmlformats.org/drawingml/2006/picture">
                <pic:pic>
                  <pic:nvPicPr>
                    <pic:cNvPr descr="../resources/c58917e413a521a38ff03e755a0ce1a61b18b71e" id="41" name="Picture"/>
                    <pic:cNvPicPr>
                      <a:picLocks noChangeArrowheads="1" noChangeAspect="1"/>
                    </pic:cNvPicPr>
                  </pic:nvPicPr>
                  <pic:blipFill>
                    <a:blip r:embed="rId39"/>
                    <a:stretch>
                      <a:fillRect/>
                    </a:stretch>
                  </pic:blipFill>
                  <pic:spPr bwMode="auto">
                    <a:xfrm>
                      <a:off x="0" y="0"/>
                      <a:ext cx="5705475" cy="762000"/>
                    </a:xfrm>
                    <a:prstGeom prst="rect">
                      <a:avLst/>
                    </a:prstGeom>
                    <a:noFill/>
                    <a:ln w="9525">
                      <a:noFill/>
                      <a:headEnd/>
                      <a:tailEnd/>
                    </a:ln>
                  </pic:spPr>
                </pic:pic>
              </a:graphicData>
            </a:graphic>
          </wp:inline>
        </w:drawing>
      </w:r>
    </w:p>
    <w:bookmarkEnd w:id="42"/>
    <w:p>
      <w:pPr>
        <w:pStyle w:val="NoteExampleGrey"/>
      </w:pPr>
      <w:r>
        <w:t xml:space="preserve">With</w:t>
      </w:r>
      <w:r>
        <w:t xml:space="preserve"> </w:t>
      </w:r>
      <w:r>
        <w:rPr>
          <w:iCs/>
          <w:i/>
        </w:rPr>
        <w:t xml:space="preserve">n</w:t>
      </w:r>
      <w:r>
        <w:t xml:space="preserve"> </w:t>
      </w:r>
      <w:r>
        <w:t xml:space="preserve">= 2, the equilibrium constant is then</w:t>
      </w:r>
    </w:p>
    <w:bookmarkStart w:id="46" w:name="fs-idp2572928"/>
    <w:p>
      <w:pPr>
        <w:pStyle w:val="NoteExampleGrey"/>
      </w:pPr>
      <w:r>
        <w:drawing>
          <wp:inline>
            <wp:extent cx="1743075" cy="1123950"/>
            <wp:effectExtent b="0" l="0" r="0" t="0"/>
            <wp:docPr descr="None" title="" id="44" name="Picture"/>
            <a:graphic>
              <a:graphicData uri="http://schemas.openxmlformats.org/drawingml/2006/picture">
                <pic:pic>
                  <pic:nvPicPr>
                    <pic:cNvPr descr="../resources/7633d1081f75060a3f04b40b210b4dc7caa03a18" id="45" name="Picture"/>
                    <pic:cNvPicPr>
                      <a:picLocks noChangeArrowheads="1" noChangeAspect="1"/>
                    </pic:cNvPicPr>
                  </pic:nvPicPr>
                  <pic:blipFill>
                    <a:blip r:embed="rId43"/>
                    <a:stretch>
                      <a:fillRect/>
                    </a:stretch>
                  </pic:blipFill>
                  <pic:spPr bwMode="auto">
                    <a:xfrm>
                      <a:off x="0" y="0"/>
                      <a:ext cx="1743075" cy="1123950"/>
                    </a:xfrm>
                    <a:prstGeom prst="rect">
                      <a:avLst/>
                    </a:prstGeom>
                    <a:noFill/>
                    <a:ln w="9525">
                      <a:noFill/>
                      <a:headEnd/>
                      <a:tailEnd/>
                    </a:ln>
                  </pic:spPr>
                </pic:pic>
              </a:graphicData>
            </a:graphic>
          </wp:inline>
        </w:drawing>
      </w:r>
    </w:p>
    <w:bookmarkEnd w:id="46"/>
    <w:p>
      <w:pPr>
        <w:pStyle w:val="NoteExampleGrey"/>
      </w:pPr>
      <w:r>
        <w:t xml:space="preserve">The standard free energy is then</w:t>
      </w:r>
    </w:p>
    <w:bookmarkStart w:id="50" w:name="fs-idp126961280"/>
    <w:p>
      <w:pPr>
        <w:pStyle w:val="NoteExampleGrey"/>
      </w:pPr>
      <w:r>
        <w:drawing>
          <wp:inline>
            <wp:extent cx="3495675" cy="409575"/>
            <wp:effectExtent b="0" l="0" r="0" t="0"/>
            <wp:docPr descr="None" title="" id="48" name="Picture"/>
            <a:graphic>
              <a:graphicData uri="http://schemas.openxmlformats.org/drawingml/2006/picture">
                <pic:pic>
                  <pic:nvPicPr>
                    <pic:cNvPr descr="../resources/9675c0278c369115b7c9aea09d7a4972a5b34d4a" id="49" name="Picture"/>
                    <pic:cNvPicPr>
                      <a:picLocks noChangeArrowheads="1" noChangeAspect="1"/>
                    </pic:cNvPicPr>
                  </pic:nvPicPr>
                  <pic:blipFill>
                    <a:blip r:embed="rId47"/>
                    <a:stretch>
                      <a:fillRect/>
                    </a:stretch>
                  </pic:blipFill>
                  <pic:spPr bwMode="auto">
                    <a:xfrm>
                      <a:off x="0" y="0"/>
                      <a:ext cx="3495675" cy="409575"/>
                    </a:xfrm>
                    <a:prstGeom prst="rect">
                      <a:avLst/>
                    </a:prstGeom>
                    <a:noFill/>
                    <a:ln w="9525">
                      <a:noFill/>
                      <a:headEnd/>
                      <a:tailEnd/>
                    </a:ln>
                  </pic:spPr>
                </pic:pic>
              </a:graphicData>
            </a:graphic>
          </wp:inline>
        </w:drawing>
      </w:r>
    </w:p>
    <w:bookmarkEnd w:id="50"/>
    <w:p>
      <w:pPr>
        <w:pStyle w:val="NoteExampleGrey"/>
      </w:pPr>
      <w:r>
        <w:t xml:space="preserve">The reaction is spontaneous, as indicated by a negative free energy change and a positive cell potential. The</w:t>
      </w:r>
      <w:r>
        <w:t xml:space="preserve"> </w:t>
      </w:r>
      <w:r>
        <w:rPr>
          <w:iCs/>
          <w:i/>
        </w:rPr>
        <w:t xml:space="preserve">K</w:t>
      </w:r>
      <w:r>
        <w:t xml:space="preserve"> </w:t>
      </w:r>
      <w:r>
        <w:t xml:space="preserve">value is very large, indicating the reaction proceeds to near completion to yield an equilibrium mixture containing mostly products.</w:t>
      </w:r>
    </w:p>
    <w:p>
      <w:pPr>
        <w:pStyle w:val="Heading4Grey"/>
      </w:pPr>
      <w:r>
        <w:t xml:space="preserve">Check Your Learning</w:t>
      </w:r>
    </w:p>
    <w:p>
      <w:pPr>
        <w:pStyle w:val="NoteExampleGrey"/>
      </w:pPr>
      <w:r>
        <w:t xml:space="preserve">What is the standard free energy change and the equilibrium constant for the following reaction at room temperature? Is the reaction spontaneous?</w:t>
      </w:r>
    </w:p>
    <w:bookmarkStart w:id="51" w:name="fs-idp7040368"/>
    <w:p>
      <w:pPr>
        <w:pStyle w:val="NoteExampleGrey"/>
      </w:pPr>
      <m:oMath>
        <m:r>
          <m:rPr>
            <m:nor/>
            <m:sty m:val="p"/>
          </m:rPr>
          <m:t>Sn</m:t>
        </m:r>
        <m:d>
          <m:dPr>
            <m:begChr m:val="("/>
            <m:endChr m:val=")"/>
            <m:sepChr m:val=""/>
            <m:grow/>
          </m:dPr>
          <m:e>
            <m:r>
              <m:t>s</m:t>
            </m:r>
          </m:e>
        </m:d>
        <m:r>
          <m:rPr>
            <m:sty m:val="p"/>
          </m:rPr>
          <m:t>+</m:t>
        </m:r>
        <m:r>
          <m:t>2</m:t>
        </m:r>
        <m:sSup>
          <m:e>
            <m:r>
              <m:rPr>
                <m:nor/>
                <m:sty m:val="p"/>
              </m:rPr>
              <m:t>Cu</m:t>
            </m:r>
          </m:e>
          <m:sup>
            <m:r>
              <m:t>2</m:t>
            </m:r>
            <m:r>
              <m:rPr>
                <m:sty m:val="p"/>
              </m:rPr>
              <m:t>+</m:t>
            </m:r>
          </m:sup>
        </m:sSup>
        <m:d>
          <m:dPr>
            <m:begChr m:val="("/>
            <m:endChr m:val=")"/>
            <m:sepChr m:val=""/>
            <m:grow/>
          </m:dPr>
          <m:e>
            <m:r>
              <m:t>a</m:t>
            </m:r>
            <m:r>
              <m:t>q</m:t>
            </m:r>
          </m:e>
        </m:d>
        <m:r>
          <m:rPr>
            <m:sty m:val="p"/>
          </m:rPr>
          <m:t>⇌</m:t>
        </m:r>
        <m:sSup>
          <m:e>
            <m:r>
              <m:rPr>
                <m:nor/>
                <m:sty m:val="p"/>
              </m:rPr>
              <m:t>Sn</m:t>
            </m:r>
          </m:e>
          <m:sup>
            <m:r>
              <m:t>2</m:t>
            </m:r>
            <m:r>
              <m:rPr>
                <m:sty m:val="p"/>
              </m:rPr>
              <m:t>+</m:t>
            </m:r>
          </m:sup>
        </m:sSup>
        <m:d>
          <m:dPr>
            <m:begChr m:val="("/>
            <m:endChr m:val=")"/>
            <m:sepChr m:val=""/>
            <m:grow/>
          </m:dPr>
          <m:e>
            <m:r>
              <m:t>a</m:t>
            </m:r>
            <m:r>
              <m:t>q</m:t>
            </m:r>
          </m:e>
        </m:d>
        <m:r>
          <m:rPr>
            <m:sty m:val="p"/>
          </m:rPr>
          <m:t>+</m:t>
        </m:r>
        <m:r>
          <m:t>2</m:t>
        </m:r>
        <m:sSup>
          <m:e>
            <m:r>
              <m:rPr>
                <m:nor/>
                <m:sty m:val="p"/>
              </m:rPr>
              <m:t>Cu</m:t>
            </m:r>
          </m:e>
          <m:sup>
            <m:r>
              <m:rPr>
                <m:nor/>
                <m:sty m:val="p"/>
              </m:rPr>
              <m:t>+</m:t>
            </m:r>
          </m:sup>
        </m:sSup>
        <m:d>
          <m:dPr>
            <m:begChr m:val="("/>
            <m:endChr m:val=")"/>
            <m:sepChr m:val=""/>
            <m:grow/>
          </m:dPr>
          <m:e>
            <m:r>
              <m:t>a</m:t>
            </m:r>
            <m:r>
              <m:t>q</m:t>
            </m:r>
          </m:e>
        </m:d>
      </m:oMath>
    </w:p>
    <w:bookmarkEnd w:id="51"/>
    <w:bookmarkStart w:id="52" w:name="fs-idp195905712"/>
    <w:p>
      <w:pPr>
        <w:pStyle w:val="Heading3Grey"/>
      </w:pPr>
      <w:r>
        <w:t xml:space="preserve">Answer:</w:t>
      </w:r>
    </w:p>
    <w:p>
      <w:pPr>
        <w:pStyle w:val="NoteExampleGrey"/>
      </w:pPr>
      <w:r>
        <w:t xml:space="preserve">Spontaneous;</w:t>
      </w:r>
      <w:r>
        <w:t xml:space="preserve"> </w:t>
      </w:r>
      <w:r>
        <w:rPr>
          <w:iCs/>
          <w:i/>
        </w:rPr>
        <w:t xml:space="preserve">n</w:t>
      </w:r>
      <w:r>
        <w:t xml:space="preserve"> </w:t>
      </w:r>
      <w:r>
        <w:t xml:space="preserve">= 2;</w:t>
      </w:r>
      <w:r>
        <w:t xml:space="preserve"> </w:t>
      </w:r>
      <m:oMath>
        <m:sSubSup>
          <m:e>
            <m:r>
              <m:t>E</m:t>
            </m:r>
          </m:e>
          <m:sub>
            <m:r>
              <m:rPr>
                <m:nor/>
                <m:sty m:val="p"/>
              </m:rPr>
              <m:t>cell</m:t>
            </m:r>
          </m:sub>
          <m:sup>
            <m:sSup>
              <m:e>
                <m:r>
                  <m:t>​</m:t>
                </m:r>
              </m:e>
              <m:sup>
                <m:r>
                  <m:rPr>
                    <m:sty m:val="p"/>
                  </m:rPr>
                  <m:t>∘</m:t>
                </m:r>
              </m:sup>
            </m:sSup>
          </m:sup>
        </m:sSubSup>
        <m:r>
          <m:rPr>
            <m:sty m:val="p"/>
          </m:rPr>
          <m:t>=</m:t>
        </m:r>
        <m:r>
          <m:rPr>
            <m:nor/>
            <m:sty m:val="p"/>
          </m:rPr>
          <m:t>+0.291 V</m:t>
        </m:r>
        <m:r>
          <m:rPr>
            <m:sty m:val="p"/>
          </m:rPr>
          <m:t>;</m:t>
        </m:r>
      </m:oMath>
      <w:r>
        <w:t xml:space="preserve"> </w:t>
      </w:r>
      <m:oMath>
        <m:r>
          <m:rPr>
            <m:nor/>
            <m:sty m:val="p"/>
          </m:rPr>
          <m:t>Δ</m:t>
        </m:r>
        <m:r>
          <m:t>G</m:t>
        </m:r>
        <m:r>
          <m:rPr>
            <m:nor/>
            <m:sty m:val="p"/>
          </m:rPr>
          <m:t>°</m:t>
        </m:r>
        <m:r>
          <m:rPr>
            <m:sty m:val="p"/>
          </m:rPr>
          <m:t>=</m:t>
        </m:r>
        <m:r>
          <m:rPr>
            <m:sty m:val="p"/>
          </m:rPr>
          <m:t>−</m:t>
        </m:r>
        <m:r>
          <m:t>56.2</m:t>
        </m:r>
        <m:r>
          <m:t> </m:t>
        </m:r>
        <m:f>
          <m:fPr>
            <m:type m:val="bar"/>
          </m:fPr>
          <m:num>
            <m:r>
              <m:rPr>
                <m:nor/>
                <m:sty m:val="p"/>
              </m:rPr>
              <m:t>kJ</m:t>
            </m:r>
          </m:num>
          <m:den>
            <m:r>
              <m:rPr>
                <m:nor/>
                <m:sty m:val="p"/>
              </m:rPr>
              <m:t>mol</m:t>
            </m:r>
          </m:den>
        </m:f>
        <m:r>
          <m:rPr>
            <m:sty m:val="p"/>
          </m:rPr>
          <m:t>;</m:t>
        </m:r>
      </m:oMath>
      <w:r>
        <w:t xml:space="preserve"> </w:t>
      </w:r>
      <w:r>
        <w:rPr>
          <w:iCs/>
          <w:i/>
        </w:rPr>
        <w:t xml:space="preserve">K</w:t>
      </w:r>
      <w:r>
        <w:t xml:space="preserve"> </w:t>
      </w:r>
      <w:r>
        <w:t xml:space="preserve">= 6.8</w:t>
      </w:r>
      <w:r>
        <w:t xml:space="preserve"> </w:t>
      </w:r>
      <m:oMath>
        <m:r>
          <m:rPr>
            <m:sty m:val="p"/>
          </m:rPr>
          <m:t>×</m:t>
        </m:r>
      </m:oMath>
      <w:r>
        <w:t xml:space="preserve"> </w:t>
      </w:r>
      <w:r>
        <w:t xml:space="preserve">10</w:t>
      </w:r>
      <w:r>
        <w:rPr>
          <w:vertAlign w:val="superscript"/>
        </w:rPr>
        <w:t xml:space="preserve">9</w:t>
      </w:r>
      <w:r>
        <w:t xml:space="preserve">.</w:t>
      </w:r>
    </w:p>
    <w:bookmarkEnd w:id="52"/>
    <w:bookmarkEnd w:id="53"/>
    <w:bookmarkEnd w:id="54"/>
    <w:bookmarkEnd w:id="55"/>
    <w:bookmarkStart w:id="83" w:name="fs-idm251393488"/>
    <w:bookmarkStart w:id="82" w:name="X98481bc1b73479d1195a932e556dfc5199e26c5"/>
    <w:p>
      <w:pPr>
        <w:pStyle w:val="Heading3"/>
      </w:pPr>
      <w:r>
        <w:t xml:space="preserve">Potentials at Nonstandard Conditions: The Nernst Equation</w:t>
      </w:r>
    </w:p>
    <w:p>
      <w:pPr>
        <w:pStyle w:val="FirstParagraph"/>
      </w:pPr>
      <w:r>
        <w:t xml:space="preserve">Most of the redox processes that interest science and society do not occur under standard state conditions, and so the potentials of these systems under nonstandard conditions are a property worthy of attention. Having established the relationship between potential and free energy change in this section, the previously discussed relation between free energy change and reaction mixture composition can be used for this purpose.</w:t>
      </w:r>
    </w:p>
    <w:bookmarkStart w:id="56" w:name="fs-idp76596960"/>
    <w:p>
      <w:pPr>
        <w:pStyle w:val="TextBody"/>
      </w:pPr>
      <m:oMath>
        <m:r>
          <m:rPr>
            <m:nor/>
            <m:sty m:val="p"/>
          </m:rPr>
          <m:t>Δ</m:t>
        </m:r>
        <m:r>
          <m:t>G</m:t>
        </m:r>
        <m:r>
          <m:rPr>
            <m:sty m:val="p"/>
          </m:rPr>
          <m:t>=</m:t>
        </m:r>
        <m:r>
          <m:rPr>
            <m:nor/>
            <m:sty m:val="p"/>
          </m:rPr>
          <m:t>Δ</m:t>
        </m:r>
        <m:r>
          <m:t>G</m:t>
        </m:r>
        <m:r>
          <m:rPr>
            <m:nor/>
            <m:sty m:val="p"/>
          </m:rPr>
          <m:t>°</m:t>
        </m:r>
        <m:r>
          <m:rPr>
            <m:sty m:val="p"/>
          </m:rPr>
          <m:t>+</m:t>
        </m:r>
        <m:r>
          <m:t>R</m:t>
        </m:r>
        <m:r>
          <m:t>T</m:t>
        </m:r>
        <m:r>
          <m:t> </m:t>
        </m:r>
        <m:r>
          <m:rPr>
            <m:nor/>
            <m:sty m:val="p"/>
          </m:rPr>
          <m:t>ln</m:t>
        </m:r>
        <m:r>
          <m:t> </m:t>
        </m:r>
        <m:r>
          <m:t>Q</m:t>
        </m:r>
      </m:oMath>
    </w:p>
    <w:bookmarkEnd w:id="56"/>
    <w:p>
      <w:pPr>
        <w:pStyle w:val="TextBody"/>
      </w:pPr>
      <w:r>
        <w:t xml:space="preserve">Notice the reaction quotient,</w:t>
      </w:r>
      <w:r>
        <w:t xml:space="preserve"> </w:t>
      </w:r>
      <w:r>
        <w:rPr>
          <w:iCs/>
          <w:i/>
        </w:rPr>
        <w:t xml:space="preserve">Q</w:t>
      </w:r>
      <w:r>
        <w:t xml:space="preserve">, appears in this equation, making the free energy change dependent upon the composition of the reaction mixture. Substituting the equation relating free energy change to cell potential yields the</w:t>
      </w:r>
      <w:r>
        <w:t xml:space="preserve"> </w:t>
      </w:r>
      <w:bookmarkStart w:id="57" w:name="term-00001"/>
      <w:r>
        <w:t xml:space="preserve">Nernst equation</w:t>
      </w:r>
      <w:bookmarkEnd w:id="57"/>
      <w:r>
        <w:t xml:space="preserve">:</w:t>
      </w:r>
    </w:p>
    <w:bookmarkStart w:id="58" w:name="fs-idp17520176"/>
    <w:p>
      <w:pPr>
        <w:pStyle w:val="TextBody"/>
      </w:pPr>
      <m:oMath>
        <m:r>
          <m:rPr>
            <m:nor/>
            <m:sty m:val="p"/>
          </m:rPr>
          <m:t>−</m:t>
        </m:r>
        <m:r>
          <m:t>n</m:t>
        </m:r>
        <m:r>
          <m:t>F</m:t>
        </m:r>
        <m:sSub>
          <m:e>
            <m:r>
              <m:t>E</m:t>
            </m:r>
          </m:e>
          <m:sub>
            <m:r>
              <m:rPr>
                <m:nor/>
                <m:sty m:val="p"/>
              </m:rPr>
              <m:t>cell</m:t>
            </m:r>
          </m:sub>
        </m:sSub>
        <m:r>
          <m:rPr>
            <m:sty m:val="p"/>
          </m:rPr>
          <m:t>=</m:t>
        </m:r>
        <m:r>
          <m:rPr>
            <m:nor/>
            <m:sty m:val="p"/>
          </m:rPr>
          <m:t>−</m:t>
        </m:r>
        <m:r>
          <m:t>n</m:t>
        </m:r>
        <m:r>
          <m:t>F</m:t>
        </m:r>
        <m:sSubSup>
          <m:e>
            <m:r>
              <m:t>E</m:t>
            </m:r>
          </m:e>
          <m:sub>
            <m:r>
              <m:rPr>
                <m:nor/>
                <m:sty m:val="p"/>
              </m:rPr>
              <m:t>cell</m:t>
            </m:r>
          </m:sub>
          <m:sup>
            <m:sSup>
              <m:e>
                <m:r>
                  <m:t>​</m:t>
                </m:r>
              </m:e>
              <m:sup>
                <m:r>
                  <m:rPr>
                    <m:sty m:val="p"/>
                  </m:rPr>
                  <m:t>∘</m:t>
                </m:r>
              </m:sup>
            </m:sSup>
          </m:sup>
        </m:sSubSup>
        <m:r>
          <m:rPr>
            <m:sty m:val="p"/>
          </m:rPr>
          <m:t>+</m:t>
        </m:r>
        <m:r>
          <m:t>R</m:t>
        </m:r>
        <m:r>
          <m:t>T</m:t>
        </m:r>
        <m:r>
          <m:t> </m:t>
        </m:r>
        <m:r>
          <m:rPr>
            <m:nor/>
            <m:sty m:val="p"/>
          </m:rPr>
          <m:t>ln</m:t>
        </m:r>
        <m:r>
          <m:t> </m:t>
        </m:r>
        <m:r>
          <m:t>Q</m:t>
        </m:r>
      </m:oMath>
    </w:p>
    <w:bookmarkEnd w:id="58"/>
    <w:bookmarkStart w:id="59" w:name="fs-idm642366960"/>
    <w:p>
      <w:pPr>
        <w:pStyle w:val="TextBody"/>
      </w:pPr>
      <m:oMath>
        <m:sSub>
          <m:e>
            <m:r>
              <m:t>E</m:t>
            </m:r>
          </m:e>
          <m:sub>
            <m:r>
              <m:rPr>
                <m:nor/>
                <m:sty m:val="p"/>
              </m:rPr>
              <m:t>cell</m:t>
            </m:r>
          </m:sub>
        </m:sSub>
        <m:r>
          <m:rPr>
            <m:sty m:val="p"/>
          </m:rPr>
          <m:t>=</m:t>
        </m:r>
        <m:sSubSup>
          <m:e>
            <m:r>
              <m:t>E</m:t>
            </m:r>
          </m:e>
          <m:sub>
            <m:r>
              <m:rPr>
                <m:nor/>
                <m:sty m:val="p"/>
              </m:rPr>
              <m:t>cell</m:t>
            </m:r>
          </m:sub>
          <m:sup>
            <m:sSup>
              <m:e>
                <m:r>
                  <m:t>​</m:t>
                </m:r>
              </m:e>
              <m:sup>
                <m:r>
                  <m:rPr>
                    <m:sty m:val="p"/>
                  </m:rPr>
                  <m:t>∘</m:t>
                </m:r>
              </m:sup>
            </m:sSup>
          </m:sup>
        </m:sSubSup>
        <m:r>
          <m:rPr>
            <m:sty m:val="p"/>
          </m:rPr>
          <m:t>−</m:t>
        </m:r>
        <m:r>
          <m:t> </m:t>
        </m:r>
        <m:f>
          <m:fPr>
            <m:type m:val="bar"/>
          </m:fPr>
          <m:num>
            <m:r>
              <m:t>R</m:t>
            </m:r>
            <m:r>
              <m:t>T</m:t>
            </m:r>
          </m:num>
          <m:den>
            <m:r>
              <m:t>n</m:t>
            </m:r>
            <m:r>
              <m:t>F</m:t>
            </m:r>
          </m:den>
        </m:f>
        <m:r>
          <m:t> </m:t>
        </m:r>
        <m:r>
          <m:rPr>
            <m:nor/>
            <m:sty m:val="p"/>
          </m:rPr>
          <m:t>ln</m:t>
        </m:r>
        <m:r>
          <m:t> </m:t>
        </m:r>
        <m:r>
          <m:t>Q</m:t>
        </m:r>
      </m:oMath>
    </w:p>
    <w:bookmarkEnd w:id="59"/>
    <w:p>
      <w:pPr>
        <w:pStyle w:val="TextBody"/>
      </w:pPr>
      <w:r>
        <w:t xml:space="preserve">This equation describes how the potential of a redox system (such as a galvanic cell) varies from its standard state value, specifically, showing it to be a function of the number of electrons transferred,</w:t>
      </w:r>
      <w:r>
        <w:t xml:space="preserve"> </w:t>
      </w:r>
      <w:r>
        <w:rPr>
          <w:iCs/>
          <w:i/>
        </w:rPr>
        <w:t xml:space="preserve">n</w:t>
      </w:r>
      <w:r>
        <w:t xml:space="preserve">, the temperature,</w:t>
      </w:r>
      <w:r>
        <w:t xml:space="preserve"> </w:t>
      </w:r>
      <w:r>
        <w:rPr>
          <w:iCs/>
          <w:i/>
        </w:rPr>
        <w:t xml:space="preserve">T</w:t>
      </w:r>
      <w:r>
        <w:t xml:space="preserve">, and the reaction mixture composition as reflected in</w:t>
      </w:r>
      <w:r>
        <w:t xml:space="preserve"> </w:t>
      </w:r>
      <w:r>
        <w:rPr>
          <w:iCs/>
          <w:i/>
        </w:rPr>
        <w:t xml:space="preserve">Q</w:t>
      </w:r>
      <w:r>
        <w:t xml:space="preserve">. A convenient form of the Nernst equation for most work is one in which values for the fundamental constants (R and F) and standard temperature (298) K), along with a factor converting from natural to base-10 logarithms, have been included:</w:t>
      </w:r>
    </w:p>
    <w:bookmarkStart w:id="60" w:name="fs-idp195072512"/>
    <w:p>
      <w:pPr>
        <w:pStyle w:val="TextBody"/>
      </w:pPr>
      <m:oMath>
        <m:sSub>
          <m:e>
            <m:r>
              <m:t>E</m:t>
            </m:r>
          </m:e>
          <m:sub>
            <m:r>
              <m:rPr>
                <m:nor/>
                <m:sty m:val="p"/>
              </m:rPr>
              <m:t>cell</m:t>
            </m:r>
          </m:sub>
        </m:sSub>
        <m:r>
          <m:rPr>
            <m:sty m:val="p"/>
          </m:rPr>
          <m:t>=</m:t>
        </m:r>
        <m:sSubSup>
          <m:e>
            <m:r>
              <m:t>E</m:t>
            </m:r>
          </m:e>
          <m:sub>
            <m:r>
              <m:rPr>
                <m:nor/>
                <m:sty m:val="p"/>
              </m:rPr>
              <m:t>cell</m:t>
            </m:r>
          </m:sub>
          <m:sup>
            <m:sSup>
              <m:e>
                <m:r>
                  <m:t>​</m:t>
                </m:r>
              </m:e>
              <m:sup>
                <m:r>
                  <m:rPr>
                    <m:sty m:val="p"/>
                  </m:rPr>
                  <m:t>∘</m:t>
                </m:r>
              </m:sup>
            </m:sSup>
          </m:sup>
        </m:sSubSup>
        <m:r>
          <m:rPr>
            <m:sty m:val="p"/>
          </m:rPr>
          <m:t>−</m:t>
        </m:r>
        <m:r>
          <m:t> </m:t>
        </m:r>
        <m:f>
          <m:fPr>
            <m:type m:val="bar"/>
          </m:fPr>
          <m:num>
            <m:r>
              <m:t>0.0592</m:t>
            </m:r>
            <m:r>
              <m:rPr>
                <m:nor/>
                <m:sty m:val="p"/>
              </m:rPr>
              <m:t>V</m:t>
            </m:r>
          </m:num>
          <m:den>
            <m:r>
              <m:t>n</m:t>
            </m:r>
          </m:den>
        </m:f>
        <m:r>
          <m:t> </m:t>
        </m:r>
        <m:r>
          <m:rPr>
            <m:nor/>
            <m:sty m:val="p"/>
          </m:rPr>
          <m:t>log</m:t>
        </m:r>
        <m:r>
          <m:t> </m:t>
        </m:r>
        <m:r>
          <m:t>Q</m:t>
        </m:r>
      </m:oMath>
    </w:p>
    <w:bookmarkEnd w:id="60"/>
    <w:bookmarkStart w:id="72" w:name="fs-idm240817536"/>
    <w:p>
      <w:pPr>
        <w:pStyle w:val="Heading3Grey"/>
      </w:pPr>
      <w:r>
        <w:t xml:space="preserve">Example</w:t>
      </w:r>
      <w:r>
        <w:t xml:space="preserve"> </w:t>
      </w:r>
      <w:r>
        <w:t xml:space="preserve"> </w:t>
      </w:r>
      <w:r>
        <w:t xml:space="preserve">17.7</w:t>
      </w:r>
      <w:r>
        <w:t xml:space="preserve"> </w:t>
      </w:r>
      <w:r>
        <w:t xml:space="preserve"> </w:t>
      </w:r>
    </w:p>
    <w:p>
      <w:pPr>
        <w:pStyle w:val="Heading4Grey"/>
      </w:pPr>
      <w:r>
        <w:t xml:space="preserve">Predicting Redox Spontaneity Under Nonstandard Conditions</w:t>
      </w:r>
    </w:p>
    <w:p>
      <w:pPr>
        <w:pStyle w:val="NoteExampleGrey"/>
      </w:pPr>
      <w:r>
        <w:t xml:space="preserve">Use the Nernst equation to predict the spontaneity of the redox reaction shown below.</w:t>
      </w:r>
    </w:p>
    <w:bookmarkStart w:id="61" w:name="fs-idm365472"/>
    <w:p>
      <w:pPr>
        <w:pStyle w:val="NoteExampleGrey"/>
      </w:pPr>
      <m:oMath>
        <m:r>
          <m:rPr>
            <m:nor/>
            <m:sty m:val="p"/>
          </m:rPr>
          <m:t>Co</m:t>
        </m:r>
        <m:d>
          <m:dPr>
            <m:begChr m:val="("/>
            <m:endChr m:val=")"/>
            <m:sepChr m:val=""/>
            <m:grow/>
          </m:dPr>
          <m:e>
            <m:r>
              <m:t>s</m:t>
            </m:r>
          </m:e>
        </m:d>
        <m:r>
          <m:rPr>
            <m:sty m:val="p"/>
          </m:rPr>
          <m:t>+</m:t>
        </m:r>
        <m:sSup>
          <m:e>
            <m:r>
              <m:rPr>
                <m:nor/>
                <m:sty m:val="p"/>
              </m:rPr>
              <m:t>Fe</m:t>
            </m:r>
          </m:e>
          <m:sup>
            <m:r>
              <m:t>2</m:t>
            </m:r>
            <m:r>
              <m:rPr>
                <m:sty m:val="p"/>
              </m:rPr>
              <m:t>+</m:t>
            </m:r>
          </m:sup>
        </m:sSup>
        <m:d>
          <m:dPr>
            <m:begChr m:val="("/>
            <m:endChr m:val=")"/>
            <m:sepChr m:val=""/>
            <m:grow/>
          </m:dPr>
          <m:e>
            <m:r>
              <m:t>a</m:t>
            </m:r>
            <m:r>
              <m:t>q</m:t>
            </m:r>
            <m:r>
              <m:rPr>
                <m:sty m:val="p"/>
              </m:rPr>
              <m:t>,</m:t>
            </m:r>
            <m:r>
              <m:t> </m:t>
            </m:r>
            <m:r>
              <m:t>1.94</m:t>
            </m:r>
            <m:r>
              <m:t> </m:t>
            </m:r>
            <m:r>
              <m:t>M</m:t>
            </m:r>
          </m:e>
        </m:d>
        <m:r>
          <m:t> </m:t>
        </m:r>
        <m:r>
          <m:rPr>
            <m:sty m:val="p"/>
          </m:rPr>
          <m:t>→</m:t>
        </m:r>
        <m:r>
          <m:t> </m:t>
        </m:r>
        <m:sSup>
          <m:e>
            <m:r>
              <m:rPr>
                <m:nor/>
                <m:sty m:val="p"/>
              </m:rPr>
              <m:t>Co</m:t>
            </m:r>
          </m:e>
          <m:sup>
            <m:r>
              <m:t>2</m:t>
            </m:r>
            <m:r>
              <m:rPr>
                <m:sty m:val="p"/>
              </m:rPr>
              <m:t>+</m:t>
            </m:r>
          </m:sup>
        </m:sSup>
        <m:d>
          <m:dPr>
            <m:begChr m:val="("/>
            <m:endChr m:val=")"/>
            <m:sepChr m:val=""/>
            <m:grow/>
          </m:dPr>
          <m:e>
            <m:r>
              <m:t>a</m:t>
            </m:r>
            <m:r>
              <m:t>q</m:t>
            </m:r>
            <m:r>
              <m:rPr>
                <m:nor/>
                <m:sty m:val="p"/>
              </m:rPr>
              <m:t>, 0.15</m:t>
            </m:r>
            <m:r>
              <m:t> </m:t>
            </m:r>
            <m:r>
              <m:t>M</m:t>
            </m:r>
          </m:e>
        </m:d>
        <m:r>
          <m:rPr>
            <m:sty m:val="p"/>
          </m:rPr>
          <m:t>+</m:t>
        </m:r>
        <m:r>
          <m:rPr>
            <m:nor/>
            <m:sty m:val="p"/>
          </m:rPr>
          <m:t>Fe</m:t>
        </m:r>
        <m:d>
          <m:dPr>
            <m:begChr m:val="("/>
            <m:endChr m:val=")"/>
            <m:sepChr m:val=""/>
            <m:grow/>
          </m:dPr>
          <m:e>
            <m:r>
              <m:t>s</m:t>
            </m:r>
          </m:e>
        </m:d>
      </m:oMath>
    </w:p>
    <w:bookmarkEnd w:id="61"/>
    <w:p>
      <w:pPr>
        <w:pStyle w:val="Heading4Grey"/>
      </w:pPr>
      <w:r>
        <w:t xml:space="preserve">Solution</w:t>
      </w:r>
    </w:p>
    <w:p>
      <w:pPr>
        <w:pStyle w:val="NoteExampleGrey"/>
      </w:pPr>
      <w:r>
        <w:t xml:space="preserve">Collecting information from</w:t>
      </w:r>
      <w:r>
        <w:t xml:space="preserve"> </w:t>
      </w:r>
      <w:hyperlink r:id="rId37">
        <w:r>
          <w:rPr>
            <w:rStyle w:val="InternetLink"/>
          </w:rPr>
          <w:t xml:space="preserve">Appendix L</w:t>
        </w:r>
      </w:hyperlink>
      <w:r>
        <w:t xml:space="preserve"> </w:t>
      </w:r>
      <w:r>
        <w:t xml:space="preserve">and the problem,</w:t>
      </w:r>
    </w:p>
    <w:bookmarkStart w:id="65" w:name="fs-idp61630144"/>
    <w:p>
      <w:pPr>
        <w:pStyle w:val="NoteExampleGrey"/>
      </w:pPr>
      <w:r>
        <w:drawing>
          <wp:inline>
            <wp:extent cx="5667375" cy="733425"/>
            <wp:effectExtent b="0" l="0" r="0" t="0"/>
            <wp:docPr descr="None" title="" id="63" name="Picture"/>
            <a:graphic>
              <a:graphicData uri="http://schemas.openxmlformats.org/drawingml/2006/picture">
                <pic:pic>
                  <pic:nvPicPr>
                    <pic:cNvPr descr="../resources/85d9e25937147c8dd37dc9893922b3244336f197" id="64" name="Picture"/>
                    <pic:cNvPicPr>
                      <a:picLocks noChangeArrowheads="1" noChangeAspect="1"/>
                    </pic:cNvPicPr>
                  </pic:nvPicPr>
                  <pic:blipFill>
                    <a:blip r:embed="rId62"/>
                    <a:stretch>
                      <a:fillRect/>
                    </a:stretch>
                  </pic:blipFill>
                  <pic:spPr bwMode="auto">
                    <a:xfrm>
                      <a:off x="0" y="0"/>
                      <a:ext cx="5667375" cy="733425"/>
                    </a:xfrm>
                    <a:prstGeom prst="rect">
                      <a:avLst/>
                    </a:prstGeom>
                    <a:noFill/>
                    <a:ln w="9525">
                      <a:noFill/>
                      <a:headEnd/>
                      <a:tailEnd/>
                    </a:ln>
                  </pic:spPr>
                </pic:pic>
              </a:graphicData>
            </a:graphic>
          </wp:inline>
        </w:drawing>
      </w:r>
    </w:p>
    <w:bookmarkEnd w:id="65"/>
    <w:p>
      <w:pPr>
        <w:pStyle w:val="NoteExampleGrey"/>
      </w:pPr>
      <w:r>
        <w:t xml:space="preserve">Notice the negative value of the standard cell potential indicates the process is not spontaneous under standard conditions. Substitution of the Nernst equation terms for the nonstandard conditions yields:</w:t>
      </w:r>
    </w:p>
    <w:bookmarkStart w:id="69" w:name="fs-idp99119696"/>
    <w:p>
      <w:pPr>
        <w:pStyle w:val="NoteExampleGrey"/>
      </w:pPr>
      <w:r>
        <w:drawing>
          <wp:inline>
            <wp:extent cx="2524125" cy="971550"/>
            <wp:effectExtent b="0" l="0" r="0" t="0"/>
            <wp:docPr descr="None" title="" id="67" name="Picture"/>
            <a:graphic>
              <a:graphicData uri="http://schemas.openxmlformats.org/drawingml/2006/picture">
                <pic:pic>
                  <pic:nvPicPr>
                    <pic:cNvPr descr="../resources/5d0cbd07dca8365a24ed84dbbdf5670f21753ef1" id="68" name="Picture"/>
                    <pic:cNvPicPr>
                      <a:picLocks noChangeArrowheads="1" noChangeAspect="1"/>
                    </pic:cNvPicPr>
                  </pic:nvPicPr>
                  <pic:blipFill>
                    <a:blip r:embed="rId66"/>
                    <a:stretch>
                      <a:fillRect/>
                    </a:stretch>
                  </pic:blipFill>
                  <pic:spPr bwMode="auto">
                    <a:xfrm>
                      <a:off x="0" y="0"/>
                      <a:ext cx="2524125" cy="971550"/>
                    </a:xfrm>
                    <a:prstGeom prst="rect">
                      <a:avLst/>
                    </a:prstGeom>
                    <a:noFill/>
                    <a:ln w="9525">
                      <a:noFill/>
                      <a:headEnd/>
                      <a:tailEnd/>
                    </a:ln>
                  </pic:spPr>
                </pic:pic>
              </a:graphicData>
            </a:graphic>
          </wp:inline>
        </w:drawing>
      </w:r>
    </w:p>
    <w:bookmarkEnd w:id="69"/>
    <w:p>
      <w:pPr>
        <w:pStyle w:val="NoteExampleGrey"/>
      </w:pPr>
      <w:r>
        <w:t xml:space="preserve">The cell potential remains negative (slightly) under the specified conditions, and so the reaction remains nonspontaneous.</w:t>
      </w:r>
    </w:p>
    <w:p>
      <w:pPr>
        <w:pStyle w:val="Heading4Grey"/>
      </w:pPr>
      <w:r>
        <w:t xml:space="preserve">Check Your Learning</w:t>
      </w:r>
    </w:p>
    <w:p>
      <w:pPr>
        <w:pStyle w:val="NoteExampleGrey"/>
      </w:pPr>
      <w:r>
        <w:t xml:space="preserve">For the cell schematic below, identify values for</w:t>
      </w:r>
      <w:r>
        <w:t xml:space="preserve"> </w:t>
      </w:r>
      <w:r>
        <w:rPr>
          <w:iCs/>
          <w:i/>
        </w:rPr>
        <w:t xml:space="preserve">n</w:t>
      </w:r>
      <w:r>
        <w:t xml:space="preserve"> </w:t>
      </w:r>
      <w:r>
        <w:t xml:space="preserve">and</w:t>
      </w:r>
      <w:r>
        <w:t xml:space="preserve"> </w:t>
      </w:r>
      <w:r>
        <w:rPr>
          <w:iCs/>
          <w:i/>
        </w:rPr>
        <w:t xml:space="preserve">Q</w:t>
      </w:r>
      <w:r>
        <w:t xml:space="preserve">, and calculate the cell potential,</w:t>
      </w:r>
      <w:r>
        <w:t xml:space="preserve"> </w:t>
      </w:r>
      <w:r>
        <w:rPr>
          <w:iCs/>
          <w:i/>
        </w:rPr>
        <w:t xml:space="preserve">E</w:t>
      </w:r>
      <w:r>
        <w:rPr>
          <w:vertAlign w:val="subscript"/>
        </w:rPr>
        <w:t xml:space="preserve">cell</w:t>
      </w:r>
      <w:r>
        <w:t xml:space="preserve">.</w:t>
      </w:r>
    </w:p>
    <w:bookmarkStart w:id="70" w:name="fs-idp18135232"/>
    <w:p>
      <w:pPr>
        <w:pStyle w:val="NoteExampleGrey"/>
      </w:pPr>
      <m:oMath>
        <m:r>
          <m:rPr>
            <m:nor/>
            <m:sty m:val="p"/>
          </m:rPr>
          <m:t>Al</m:t>
        </m:r>
        <m:d>
          <m:dPr>
            <m:begChr m:val="("/>
            <m:endChr m:val=")"/>
            <m:sepChr m:val=""/>
            <m:grow/>
          </m:dPr>
          <m:e>
            <m:r>
              <m:t>s</m:t>
            </m:r>
          </m:e>
        </m:d>
        <m:r>
          <m:rPr>
            <m:sty m:val="p"/>
          </m:rPr>
          <m:t>│</m:t>
        </m:r>
        <m:sSup>
          <m:e>
            <m:r>
              <m:rPr>
                <m:nor/>
                <m:sty m:val="p"/>
              </m:rPr>
              <m:t>Al</m:t>
            </m:r>
          </m:e>
          <m:sup>
            <m:r>
              <m:t>3</m:t>
            </m:r>
            <m:r>
              <m:rPr>
                <m:sty m:val="p"/>
              </m:rPr>
              <m:t>+</m:t>
            </m:r>
          </m:sup>
        </m:sSup>
        <m:d>
          <m:dPr>
            <m:begChr m:val="("/>
            <m:endChr m:val=")"/>
            <m:sepChr m:val=""/>
            <m:grow/>
          </m:dPr>
          <m:e>
            <m:r>
              <m:t>a</m:t>
            </m:r>
            <m:r>
              <m:t>q</m:t>
            </m:r>
            <m:r>
              <m:rPr>
                <m:sty m:val="p"/>
              </m:rPr>
              <m:t>,</m:t>
            </m:r>
            <m:r>
              <m:t> </m:t>
            </m:r>
            <m:r>
              <m:t>0.15</m:t>
            </m:r>
            <m:r>
              <m:t> </m:t>
            </m:r>
            <m:r>
              <m:t>M</m:t>
            </m:r>
          </m:e>
        </m:d>
        <m:r>
          <m:rPr>
            <m:sty m:val="p"/>
          </m:rPr>
          <m:t>║</m:t>
        </m:r>
        <m:sSup>
          <m:e>
            <m:r>
              <m:rPr>
                <m:nor/>
                <m:sty m:val="p"/>
              </m:rPr>
              <m:t>Cu</m:t>
            </m:r>
          </m:e>
          <m:sup>
            <m:r>
              <m:t>2</m:t>
            </m:r>
            <m:r>
              <m:rPr>
                <m:sty m:val="p"/>
              </m:rPr>
              <m:t>+</m:t>
            </m:r>
          </m:sup>
        </m:sSup>
        <m:d>
          <m:dPr>
            <m:begChr m:val="("/>
            <m:endChr m:val=")"/>
            <m:sepChr m:val=""/>
            <m:grow/>
          </m:dPr>
          <m:e>
            <m:r>
              <m:t>a</m:t>
            </m:r>
            <m:r>
              <m:t>q</m:t>
            </m:r>
            <m:r>
              <m:rPr>
                <m:sty m:val="p"/>
              </m:rPr>
              <m:t>,</m:t>
            </m:r>
            <m:r>
              <m:t> </m:t>
            </m:r>
            <m:r>
              <m:t>0.025</m:t>
            </m:r>
            <m:r>
              <m:t> </m:t>
            </m:r>
            <m:r>
              <m:t>M</m:t>
            </m:r>
          </m:e>
        </m:d>
        <m:r>
          <m:rPr>
            <m:sty m:val="p"/>
          </m:rPr>
          <m:t>│</m:t>
        </m:r>
        <m:r>
          <m:rPr>
            <m:nor/>
            <m:sty m:val="p"/>
          </m:rPr>
          <m:t>Cu</m:t>
        </m:r>
        <m:d>
          <m:dPr>
            <m:begChr m:val="("/>
            <m:endChr m:val=")"/>
            <m:sepChr m:val=""/>
            <m:grow/>
          </m:dPr>
          <m:e>
            <m:r>
              <m:t>s</m:t>
            </m:r>
          </m:e>
        </m:d>
      </m:oMath>
    </w:p>
    <w:bookmarkEnd w:id="70"/>
    <w:bookmarkStart w:id="71" w:name="fs-idp84594464"/>
    <w:p>
      <w:pPr>
        <w:pStyle w:val="Heading3Grey"/>
      </w:pPr>
      <w:r>
        <w:t xml:space="preserve">Answer:</w:t>
      </w:r>
    </w:p>
    <w:p>
      <w:pPr>
        <w:pStyle w:val="NoteExampleGrey"/>
      </w:pPr>
      <w:r>
        <w:rPr>
          <w:iCs/>
          <w:i/>
        </w:rPr>
        <w:t xml:space="preserve">n</w:t>
      </w:r>
      <w:r>
        <w:t xml:space="preserve"> </w:t>
      </w:r>
      <w:r>
        <w:t xml:space="preserve">= 6;</w:t>
      </w:r>
      <w:r>
        <w:t xml:space="preserve"> </w:t>
      </w:r>
      <w:r>
        <w:rPr>
          <w:iCs/>
          <w:i/>
        </w:rPr>
        <w:t xml:space="preserve">Q</w:t>
      </w:r>
      <w:r>
        <w:t xml:space="preserve"> </w:t>
      </w:r>
      <w:r>
        <w:t xml:space="preserve">= 1440;</w:t>
      </w:r>
      <w:r>
        <w:t xml:space="preserve"> </w:t>
      </w:r>
      <w:r>
        <w:rPr>
          <w:iCs/>
          <w:i/>
        </w:rPr>
        <w:t xml:space="preserve">E</w:t>
      </w:r>
      <w:r>
        <w:rPr>
          <w:vertAlign w:val="subscript"/>
        </w:rPr>
        <w:t xml:space="preserve">cell</w:t>
      </w:r>
      <w:r>
        <w:t xml:space="preserve"> </w:t>
      </w:r>
      <w:r>
        <w:t xml:space="preserve">= +1.97 V, spontaneous.</w:t>
      </w:r>
    </w:p>
    <w:bookmarkEnd w:id="71"/>
    <w:bookmarkEnd w:id="72"/>
    <w:p>
      <w:pPr>
        <w:pStyle w:val="TextBody"/>
      </w:pPr>
      <w:r>
        <w:t xml:space="preserve">A</w:t>
      </w:r>
      <w:r>
        <w:t xml:space="preserve"> </w:t>
      </w:r>
      <w:bookmarkStart w:id="73" w:name="term-00002"/>
      <w:r>
        <w:t xml:space="preserve">concentration cell</w:t>
      </w:r>
      <w:bookmarkEnd w:id="73"/>
      <w:r>
        <w:t xml:space="preserve"> </w:t>
      </w:r>
      <w:r>
        <w:t xml:space="preserve">is constructed by connecting two nearly identical half-cells, each based on the same half-reaction and using the same electrode, varying only in the concentration of one redox species. The potential of a concentration cell, therefore, is determined only by the difference in concentration of the chosen redox species. The example problem below illustrates the use of the Nernst equation in calculations involving concentration cells.</w:t>
      </w:r>
    </w:p>
    <w:bookmarkStart w:id="81" w:name="fs-idp211103648"/>
    <w:p>
      <w:pPr>
        <w:pStyle w:val="Heading3Grey"/>
      </w:pPr>
      <w:r>
        <w:t xml:space="preserve">Example</w:t>
      </w:r>
      <w:r>
        <w:t xml:space="preserve"> </w:t>
      </w:r>
      <w:r>
        <w:t xml:space="preserve"> </w:t>
      </w:r>
      <w:r>
        <w:t xml:space="preserve">17.8</w:t>
      </w:r>
      <w:r>
        <w:t xml:space="preserve"> </w:t>
      </w:r>
      <w:r>
        <w:t xml:space="preserve"> </w:t>
      </w:r>
    </w:p>
    <w:p>
      <w:pPr>
        <w:pStyle w:val="Heading4Grey"/>
      </w:pPr>
      <w:r>
        <w:t xml:space="preserve">Concentration Cells</w:t>
      </w:r>
    </w:p>
    <w:p>
      <w:pPr>
        <w:pStyle w:val="NoteExampleGrey"/>
      </w:pPr>
      <w:r>
        <w:t xml:space="preserve">What is the cell potential of the concentration cell described by</w:t>
      </w:r>
    </w:p>
    <w:bookmarkStart w:id="74" w:name="fs-idp85858736"/>
    <w:p>
      <w:pPr>
        <w:pStyle w:val="NoteExampleGrey"/>
      </w:pPr>
      <m:oMath>
        <m:r>
          <m:rPr>
            <m:nor/>
            <m:sty m:val="p"/>
          </m:rPr>
          <m:t>Zn</m:t>
        </m:r>
        <m:d>
          <m:dPr>
            <m:begChr m:val="("/>
            <m:endChr m:val=")"/>
            <m:sepChr m:val=""/>
            <m:grow/>
          </m:dPr>
          <m:e>
            <m:r>
              <m:t>s</m:t>
            </m:r>
          </m:e>
        </m:d>
        <m:r>
          <m:rPr>
            <m:sty m:val="p"/>
          </m:rPr>
          <m:t>│</m:t>
        </m:r>
        <m:sSup>
          <m:e>
            <m:r>
              <m:rPr>
                <m:nor/>
                <m:sty m:val="p"/>
              </m:rPr>
              <m:t>Zn</m:t>
            </m:r>
          </m:e>
          <m:sup>
            <m:r>
              <m:t>2</m:t>
            </m:r>
            <m:r>
              <m:rPr>
                <m:sty m:val="p"/>
              </m:rPr>
              <m:t>+</m:t>
            </m:r>
          </m:sup>
        </m:sSup>
        <m:d>
          <m:dPr>
            <m:begChr m:val="("/>
            <m:endChr m:val=")"/>
            <m:sepChr m:val=""/>
            <m:grow/>
          </m:dPr>
          <m:e>
            <m:r>
              <m:t>a</m:t>
            </m:r>
            <m:r>
              <m:t>q</m:t>
            </m:r>
            <m:r>
              <m:rPr>
                <m:nor/>
                <m:sty m:val="p"/>
              </m:rPr>
              <m:t>, 0.10</m:t>
            </m:r>
            <m:r>
              <m:t> </m:t>
            </m:r>
            <m:r>
              <m:t>M</m:t>
            </m:r>
          </m:e>
        </m:d>
        <m:r>
          <m:rPr>
            <m:sty m:val="p"/>
          </m:rPr>
          <m:t>║</m:t>
        </m:r>
        <m:sSup>
          <m:e>
            <m:r>
              <m:rPr>
                <m:nor/>
                <m:sty m:val="p"/>
              </m:rPr>
              <m:t>Zn</m:t>
            </m:r>
          </m:e>
          <m:sup>
            <m:r>
              <m:t>2</m:t>
            </m:r>
            <m:r>
              <m:rPr>
                <m:sty m:val="p"/>
              </m:rPr>
              <m:t>+</m:t>
            </m:r>
          </m:sup>
        </m:sSup>
        <m:d>
          <m:dPr>
            <m:begChr m:val="("/>
            <m:endChr m:val=")"/>
            <m:sepChr m:val=""/>
            <m:grow/>
          </m:dPr>
          <m:e>
            <m:r>
              <m:t>a</m:t>
            </m:r>
            <m:r>
              <m:t>q</m:t>
            </m:r>
            <m:r>
              <m:rPr>
                <m:nor/>
                <m:sty m:val="p"/>
              </m:rPr>
              <m:t>, 0.50</m:t>
            </m:r>
            <m:r>
              <m:t> </m:t>
            </m:r>
            <m:r>
              <m:t>M</m:t>
            </m:r>
          </m:e>
        </m:d>
        <m:r>
          <m:rPr>
            <m:sty m:val="p"/>
          </m:rPr>
          <m:t>│</m:t>
        </m:r>
        <m:r>
          <m:rPr>
            <m:nor/>
            <m:sty m:val="p"/>
          </m:rPr>
          <m:t>Zn</m:t>
        </m:r>
        <m:d>
          <m:dPr>
            <m:begChr m:val="("/>
            <m:endChr m:val=")"/>
            <m:sepChr m:val=""/>
            <m:grow/>
          </m:dPr>
          <m:e>
            <m:r>
              <m:t>s</m:t>
            </m:r>
          </m:e>
        </m:d>
      </m:oMath>
    </w:p>
    <w:bookmarkEnd w:id="74"/>
    <w:p>
      <w:pPr>
        <w:pStyle w:val="Heading4Grey"/>
      </w:pPr>
      <w:r>
        <w:t xml:space="preserve">Solution</w:t>
      </w:r>
    </w:p>
    <w:p>
      <w:pPr>
        <w:pStyle w:val="NoteExampleGrey"/>
      </w:pPr>
      <w:r>
        <w:t xml:space="preserve">From the information given:</w:t>
      </w:r>
    </w:p>
    <w:bookmarkStart w:id="78" w:name="fs-idp5275888"/>
    <w:p>
      <w:pPr>
        <w:pStyle w:val="NoteExampleGrey"/>
      </w:pPr>
      <w:r>
        <w:drawing>
          <wp:inline>
            <wp:extent cx="5019675" cy="723900"/>
            <wp:effectExtent b="0" l="0" r="0" t="0"/>
            <wp:docPr descr="None" title="" id="76" name="Picture"/>
            <a:graphic>
              <a:graphicData uri="http://schemas.openxmlformats.org/drawingml/2006/picture">
                <pic:pic>
                  <pic:nvPicPr>
                    <pic:cNvPr descr="../resources/cbd7509f4bc12917697eb5ef2c394a0f5398f44c" id="77" name="Picture"/>
                    <pic:cNvPicPr>
                      <a:picLocks noChangeArrowheads="1" noChangeAspect="1"/>
                    </pic:cNvPicPr>
                  </pic:nvPicPr>
                  <pic:blipFill>
                    <a:blip r:embed="rId75"/>
                    <a:stretch>
                      <a:fillRect/>
                    </a:stretch>
                  </pic:blipFill>
                  <pic:spPr bwMode="auto">
                    <a:xfrm>
                      <a:off x="0" y="0"/>
                      <a:ext cx="5019675" cy="723900"/>
                    </a:xfrm>
                    <a:prstGeom prst="rect">
                      <a:avLst/>
                    </a:prstGeom>
                    <a:noFill/>
                    <a:ln w="9525">
                      <a:noFill/>
                      <a:headEnd/>
                      <a:tailEnd/>
                    </a:ln>
                  </pic:spPr>
                </pic:pic>
              </a:graphicData>
            </a:graphic>
          </wp:inline>
        </w:drawing>
      </w:r>
    </w:p>
    <w:bookmarkEnd w:id="78"/>
    <w:p>
      <w:pPr>
        <w:pStyle w:val="NoteExampleGrey"/>
      </w:pPr>
      <w:r>
        <w:t xml:space="preserve">Substituting into the Nernst equation,</w:t>
      </w:r>
    </w:p>
    <w:bookmarkStart w:id="79" w:name="fs-idp235695968"/>
    <w:p>
      <w:pPr>
        <w:pStyle w:val="NoteExampleGrey"/>
      </w:pPr>
      <m:oMath>
        <m:sSub>
          <m:e>
            <m:r>
              <m:t>E</m:t>
            </m:r>
          </m:e>
          <m:sub>
            <m:r>
              <m:rPr>
                <m:nor/>
                <m:sty m:val="p"/>
              </m:rPr>
              <m:t>cell</m:t>
            </m:r>
          </m:sub>
        </m:sSub>
        <m:r>
          <m:rPr>
            <m:sty m:val="p"/>
          </m:rPr>
          <m:t>=</m:t>
        </m:r>
        <m:r>
          <m:rPr>
            <m:nor/>
            <m:sty m:val="p"/>
          </m:rPr>
          <m:t>0.000 V</m:t>
        </m:r>
        <m:r>
          <m:rPr>
            <m:sty m:val="p"/>
          </m:rPr>
          <m:t>−</m:t>
        </m:r>
        <m:r>
          <m:t> </m:t>
        </m:r>
        <m:f>
          <m:fPr>
            <m:type m:val="bar"/>
          </m:fPr>
          <m:num>
            <m:r>
              <m:rPr>
                <m:nor/>
                <m:sty m:val="p"/>
              </m:rPr>
              <m:t>0.0592 V</m:t>
            </m:r>
          </m:num>
          <m:den>
            <m:r>
              <m:t>2</m:t>
            </m:r>
          </m:den>
        </m:f>
        <m:r>
          <m:t> </m:t>
        </m:r>
        <m:r>
          <m:rPr>
            <m:nor/>
            <m:sty m:val="p"/>
          </m:rPr>
          <m:t>log</m:t>
        </m:r>
        <m:r>
          <m:t> </m:t>
        </m:r>
        <m:f>
          <m:fPr>
            <m:type m:val="bar"/>
          </m:fPr>
          <m:num>
            <m:r>
              <m:t>0.10</m:t>
            </m:r>
          </m:num>
          <m:den>
            <m:r>
              <m:t>0.50</m:t>
            </m:r>
          </m:den>
        </m:f>
        <m:r>
          <m:t> </m:t>
        </m:r>
        <m:r>
          <m:rPr>
            <m:sty m:val="p"/>
          </m:rPr>
          <m:t>=</m:t>
        </m:r>
        <m:r>
          <m:rPr>
            <m:sty m:val="p"/>
          </m:rPr>
          <m:t>+</m:t>
        </m:r>
        <m:r>
          <m:t>0.021</m:t>
        </m:r>
        <m:r>
          <m:t> </m:t>
        </m:r>
        <m:r>
          <m:t>V</m:t>
        </m:r>
      </m:oMath>
    </w:p>
    <w:bookmarkEnd w:id="79"/>
    <w:p>
      <w:pPr>
        <w:pStyle w:val="NoteExampleGrey"/>
      </w:pPr>
      <w:r>
        <w:t xml:space="preserve">The positive value for cell potential indicates the overall cell reaction (see above) is spontaneous. This spontaneous reaction is one in which the zinc ion concentration in the cathode falls (it is reduced to elemental zinc) while that in the anode rises (it is produced by oxidation of the zinc anode). A greater driving force for zinc reduction is present in the cathode, where the zinc(II) ion concentration is greater (</w:t>
      </w:r>
      <w:r>
        <w:rPr>
          <w:iCs/>
          <w:i/>
        </w:rPr>
        <w:t xml:space="preserve">E</w:t>
      </w:r>
      <w:r>
        <w:rPr>
          <w:vertAlign w:val="subscript"/>
        </w:rPr>
        <w:t xml:space="preserve">cathode</w:t>
      </w:r>
      <w:r>
        <w:t xml:space="preserve"> </w:t>
      </w:r>
      <w:r>
        <w:t xml:space="preserve">&gt;</w:t>
      </w:r>
      <w:r>
        <w:t xml:space="preserve"> </w:t>
      </w:r>
      <w:r>
        <w:rPr>
          <w:iCs/>
          <w:i/>
        </w:rPr>
        <w:t xml:space="preserve">E</w:t>
      </w:r>
      <w:r>
        <w:rPr>
          <w:vertAlign w:val="subscript"/>
        </w:rPr>
        <w:t xml:space="preserve">anode</w:t>
      </w:r>
      <w:r>
        <w:t xml:space="preserve">).</w:t>
      </w:r>
    </w:p>
    <w:p>
      <w:pPr>
        <w:pStyle w:val="Heading4Grey"/>
      </w:pPr>
      <w:r>
        <w:t xml:space="preserve">Check Your Learning</w:t>
      </w:r>
    </w:p>
    <w:p>
      <w:pPr>
        <w:pStyle w:val="NoteExampleGrey"/>
      </w:pPr>
      <w:r>
        <w:t xml:space="preserve">The concentration cell above was allowed to operate until the cell reaction reached equilibrium. What are the cell potential and the concentrations of zinc(II) in each half-cell for the cell now?</w:t>
      </w:r>
    </w:p>
    <w:bookmarkStart w:id="80" w:name="fs-idm1444240"/>
    <w:p>
      <w:pPr>
        <w:pStyle w:val="Heading3Grey"/>
      </w:pPr>
      <w:r>
        <w:t xml:space="preserve">Answer:</w:t>
      </w:r>
    </w:p>
    <w:p>
      <w:pPr>
        <w:pStyle w:val="NoteExampleGrey"/>
      </w:pPr>
      <w:r>
        <w:rPr>
          <w:iCs/>
          <w:i/>
        </w:rPr>
        <w:t xml:space="preserve">E</w:t>
      </w:r>
      <w:r>
        <w:rPr>
          <w:vertAlign w:val="subscript"/>
        </w:rPr>
        <w:t xml:space="preserve">cell</w:t>
      </w:r>
      <w:r>
        <w:t xml:space="preserve"> </w:t>
      </w:r>
      <w:r>
        <w:t xml:space="preserve">= 0.000 V; [Zn</w:t>
      </w:r>
      <w:r>
        <w:rPr>
          <w:vertAlign w:val="superscript"/>
        </w:rPr>
        <w:t xml:space="preserve">2+</w:t>
      </w:r>
      <w:r>
        <w:t xml:space="preserve">]</w:t>
      </w:r>
      <w:r>
        <w:rPr>
          <w:vertAlign w:val="subscript"/>
        </w:rPr>
        <w:t xml:space="preserve">cathode</w:t>
      </w:r>
      <w:r>
        <w:t xml:space="preserve"> </w:t>
      </w:r>
      <w:r>
        <w:t xml:space="preserve">= [Zn</w:t>
      </w:r>
      <w:r>
        <w:rPr>
          <w:vertAlign w:val="superscript"/>
        </w:rPr>
        <w:t xml:space="preserve">2+</w:t>
      </w:r>
      <w:r>
        <w:t xml:space="preserve">]</w:t>
      </w:r>
      <w:r>
        <w:rPr>
          <w:vertAlign w:val="subscript"/>
        </w:rPr>
        <w:t xml:space="preserve">anode</w:t>
      </w:r>
      <w:r>
        <w:t xml:space="preserve"> </w:t>
      </w:r>
      <w:r>
        <w:t xml:space="preserve">= 0.30</w:t>
      </w:r>
      <w:r>
        <w:t xml:space="preserve"> </w:t>
      </w:r>
      <w:r>
        <w:rPr>
          <w:iCs/>
          <w:i/>
        </w:rPr>
        <w:t xml:space="preserve">M</w:t>
      </w:r>
    </w:p>
    <w:bookmarkEnd w:id="80"/>
    <w:bookmarkEnd w:id="81"/>
    <w:bookmarkEnd w:id="82"/>
    <w:bookmarkEnd w:id="83"/>
    <w:bookmarkEnd w:id="84"/>
    <w:bookmarkEnd w:id="8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so" /><Relationship Type="http://schemas.openxmlformats.org/officeDocument/2006/relationships/image" Id="rId28" Target="media/rId28.so" /><Relationship Type="http://schemas.openxmlformats.org/officeDocument/2006/relationships/image" Id="rId66" Target="media/rId66.so" /><Relationship Type="http://schemas.openxmlformats.org/officeDocument/2006/relationships/image" Id="rId32" Target="media/rId32.so" /><Relationship Type="http://schemas.openxmlformats.org/officeDocument/2006/relationships/image" Id="rId43" Target="media/rId43.so" /><Relationship Type="http://schemas.openxmlformats.org/officeDocument/2006/relationships/image" Id="rId62" Target="media/rId62.so" /><Relationship Type="http://schemas.openxmlformats.org/officeDocument/2006/relationships/image" Id="rId47" Target="media/rId47.so" /><Relationship Type="http://schemas.openxmlformats.org/officeDocument/2006/relationships/image" Id="rId39" Target="media/rId39.so" /><Relationship Type="http://schemas.openxmlformats.org/officeDocument/2006/relationships/image" Id="rId75" Target="media/rId75.so" /><Relationship Type="http://schemas.openxmlformats.org/officeDocument/2006/relationships/hyperlink" Id="rId37" Target="http://openstax.org/books/chemistry-2e/pages/l-standard-electrode-half-cell-potential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7" Target="http://openstax.org/books/chemistry-2e/pages/l-standard-electrode-half-cell-potenti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2025-01-24T22:26:53Z</dcterms:created>
  <dcterms:modified xsi:type="dcterms:W3CDTF">2025-01-24T22:26:53Z</dcterms:modified>
</cp:coreProperties>
</file>

<file path=docProps/custom.xml><?xml version="1.0" encoding="utf-8"?>
<Properties xmlns="http://schemas.openxmlformats.org/officeDocument/2006/custom-properties" xmlns:vt="http://schemas.openxmlformats.org/officeDocument/2006/docPropsVTypes"/>
</file>