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so" ContentType="application/octet-stream"/>
  <Override PartName="/word/media/rId64.so" ContentType="application/octet-stream"/>
  <Override PartName="/word/media/rId40.so" ContentType="application/octet-stream"/>
  <Override PartName="/word/media/rId23.so" ContentType="application/octet-stream"/>
  <Override PartName="/word/media/rId3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6a94984badc99a33544c07ce41325389e764540"/>
    <w:bookmarkStart w:id="73" w:name="Xd3c5c9cfc117bcb4b78bd3dd94d85d6e4f421fa"/>
    <w:p>
      <w:pPr>
        <w:pStyle w:val="Heading2"/>
      </w:pPr>
      <w:r>
        <w:t xml:space="preserve">16.3</w:t>
      </w:r>
      <w:r>
        <w:t xml:space="preserve"> </w:t>
      </w:r>
      <w:r>
        <w:t xml:space="preserve"> </w:t>
      </w:r>
      <w:r>
        <w:t xml:space="preserve"> </w:t>
      </w:r>
      <w:r>
        <w:t xml:space="preserve">The Second and Third Laws of Thermodynamics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State and explain the second and third laws of thermodynamics</w:t>
      </w:r>
    </w:p>
    <w:p>
      <w:pPr>
        <w:numPr>
          <w:ilvl w:val="0"/>
          <w:numId w:val="1001"/>
        </w:numPr>
        <w:pStyle w:val="Compact"/>
      </w:pPr>
      <w:r>
        <w:t xml:space="preserve">Calculate entropy changes for phase transitions and chemical reactions under standard conditions</w:t>
      </w:r>
    </w:p>
    <w:bookmarkEnd w:id="20"/>
    <w:bookmarkStart w:id="47" w:name="fs-idm4119136"/>
    <w:bookmarkStart w:id="46" w:name="the-second-law-of-thermodynamics"/>
    <w:p>
      <w:pPr>
        <w:pStyle w:val="Heading3"/>
      </w:pPr>
      <w:r>
        <w:t xml:space="preserve">The Second Law of Thermodynamics</w:t>
      </w:r>
    </w:p>
    <w:p>
      <w:pPr>
        <w:pStyle w:val="FirstParagraph"/>
      </w:pPr>
      <w:r>
        <w:t xml:space="preserve">In the quest to identify a property that may reliably predict the spontaneity of a process, a promising candidate has been identified: entropy. Processes that involve an increase in entropy</w:t>
      </w:r>
      <w:r>
        <w:t xml:space="preserve"> </w:t>
      </w:r>
      <w:r>
        <w:rPr>
          <w:iCs/>
          <w:i/>
        </w:rPr>
        <w:t xml:space="preserve">of the system</w:t>
      </w:r>
      <w:r>
        <w:t xml:space="preserve"> </w:t>
      </w:r>
      <w:r>
        <w:t xml:space="preserve">(Δ</w:t>
      </w:r>
      <w:r>
        <w:rPr>
          <w:iCs/>
          <w:i/>
        </w:rPr>
        <w:t xml:space="preserve">S</w:t>
      </w:r>
      <w:r>
        <w:t xml:space="preserve"> </w:t>
      </w:r>
      <w:r>
        <w:t xml:space="preserve">&gt; 0) are very often spontaneous; however, examples to the contrary are plentiful. By expanding consideration of entropy changes to include</w:t>
      </w:r>
      <w:r>
        <w:t xml:space="preserve"> </w:t>
      </w:r>
      <w:r>
        <w:rPr>
          <w:iCs/>
          <w:i/>
        </w:rPr>
        <w:t xml:space="preserve">the surroundings</w:t>
      </w:r>
      <w:r>
        <w:t xml:space="preserve">, we may reach a significant conclusion regarding the relation between this property and spontaneity. In thermodynamic models, the system and surroundings comprise everything, that is, the universe, and so the following is true:</w:t>
      </w:r>
    </w:p>
    <w:bookmarkStart w:id="21" w:name="fs-idm7595760"/>
    <w:p>
      <w:pPr>
        <w:pStyle w:val="TextBody"/>
      </w:pPr>
      <m:oMath>
        <m:r>
          <m:rPr>
            <m:nor/>
            <m:sty m:val="p"/>
          </m:rPr>
          <m:t>Δ</m:t>
        </m:r>
        <m:sSub>
          <m:e>
            <m:r>
              <m:t>S</m:t>
            </m:r>
          </m:e>
          <m:sub>
            <m:r>
              <m:rPr>
                <m:nor/>
                <m:sty m:val="p"/>
              </m:rPr>
              <m:t>univ</m:t>
            </m:r>
          </m:sub>
        </m:sSub>
        <m:r>
          <m:rPr>
            <m:sty m:val="p"/>
          </m:rPr>
          <m:t>=</m:t>
        </m:r>
        <m:r>
          <m:rPr>
            <m:nor/>
            <m:sty m:val="p"/>
          </m:rPr>
          <m:t>Δ</m:t>
        </m:r>
        <m:sSub>
          <m:e>
            <m:r>
              <m:t>S</m:t>
            </m:r>
          </m:e>
          <m:sub>
            <m:r>
              <m:rPr>
                <m:nor/>
                <m:sty m:val="p"/>
              </m:rPr>
              <m:t>sys</m:t>
            </m:r>
          </m:sub>
        </m:sSub>
        <m:r>
          <m:rPr>
            <m:sty m:val="p"/>
          </m:rPr>
          <m:t>+</m:t>
        </m:r>
        <m:r>
          <m:rPr>
            <m:nor/>
            <m:sty m:val="p"/>
          </m:rPr>
          <m:t>Δ</m:t>
        </m:r>
        <m:sSub>
          <m:e>
            <m:r>
              <m:t>S</m:t>
            </m:r>
          </m:e>
          <m:sub>
            <m:r>
              <m:rPr>
                <m:nor/>
                <m:sty m:val="p"/>
              </m:rPr>
              <m:t>surr</m:t>
            </m:r>
          </m:sub>
        </m:sSub>
      </m:oMath>
    </w:p>
    <w:bookmarkEnd w:id="21"/>
    <w:p>
      <w:pPr>
        <w:pStyle w:val="TextBody"/>
      </w:pPr>
      <w:r>
        <w:t xml:space="preserve">To illustrate this relation, consider again the process of heat flow between two objects, one identified as the system and the other as the surroundings. There are three possibilities for such a process:</w:t>
      </w:r>
    </w:p>
    <w:p>
      <w:pPr>
        <w:numPr>
          <w:ilvl w:val="0"/>
          <w:numId w:val="1002"/>
        </w:numPr>
        <w:pStyle w:val="Compact"/>
      </w:pPr>
      <w:r>
        <w:t xml:space="preserve">The objects are at different temperatures, and heat flows from the hotter to the cooler object.</w:t>
      </w:r>
      <w:r>
        <w:t xml:space="preserve"> </w:t>
      </w:r>
      <w:r>
        <w:rPr>
          <w:iCs/>
          <w:i/>
        </w:rPr>
        <w:t xml:space="preserve">This is always observed to occur spontaneously.</w:t>
      </w:r>
      <w:r>
        <w:t xml:space="preserve"> </w:t>
      </w:r>
      <w:r>
        <w:t xml:space="preserve">Designating the hotter object as the system and invoking the definition of entropy yields the following:</w:t>
      </w:r>
    </w:p>
    <w:bookmarkStart w:id="22" w:name="fs-idp67516128"/>
    <w:p>
      <w:pPr>
        <w:numPr>
          <w:ilvl w:val="0"/>
          <w:numId w:val="1000"/>
        </w:numPr>
      </w:pPr>
      <m:oMath>
        <m:r>
          <m:rPr>
            <m:nor/>
            <m:sty m:val="p"/>
          </m:rPr>
          <m:t>Δ</m:t>
        </m:r>
        <m:sSub>
          <m:e>
            <m:r>
              <m:t>S</m:t>
            </m:r>
          </m:e>
          <m:sub>
            <m:r>
              <m:rPr>
                <m:nor/>
                <m:sty m:val="p"/>
              </m:rPr>
              <m:t>sys</m:t>
            </m:r>
          </m:sub>
        </m:sSub>
        <m:r>
          <m:rPr>
            <m:sty m:val="p"/>
          </m:rPr>
          <m:t>=</m:t>
        </m:r>
        <m:r>
          <m:t> </m:t>
        </m:r>
        <m:f>
          <m:fPr>
            <m:type m:val="bar"/>
          </m:fPr>
          <m:num>
            <m:r>
              <m:rPr>
                <m:nor/>
                <m:sty m:val="p"/>
              </m:rPr>
              <m:t>−</m:t>
            </m:r>
            <m:sSub>
              <m:e>
                <m:r>
                  <m:t>q</m:t>
                </m:r>
              </m:e>
              <m:sub>
                <m:r>
                  <m:rPr>
                    <m:nor/>
                    <m:sty m:val="p"/>
                  </m:rPr>
                  <m:t>rev</m:t>
                </m:r>
              </m:sub>
            </m:sSub>
          </m:num>
          <m:den>
            <m:sSub>
              <m:e>
                <m:r>
                  <m:t>T</m:t>
                </m:r>
              </m:e>
              <m:sub>
                <m:r>
                  <m:rPr>
                    <m:nor/>
                    <m:sty m:val="p"/>
                  </m:rPr>
                  <m:t>sys</m:t>
                </m:r>
              </m:sub>
            </m:sSub>
          </m:den>
        </m:f>
        <m:r>
          <m:t>  </m:t>
        </m:r>
        <m:r>
          <m:rPr>
            <m:nor/>
            <m:sty m:val="p"/>
          </m:rPr>
          <m:t>and</m:t>
        </m:r>
        <m:r>
          <m:t>  </m:t>
        </m:r>
        <m:r>
          <m:rPr>
            <m:nor/>
            <m:sty m:val="p"/>
          </m:rPr>
          <m:t>Δ</m:t>
        </m:r>
        <m:sSub>
          <m:e>
            <m:r>
              <m:t>S</m:t>
            </m:r>
          </m:e>
          <m:sub>
            <m:r>
              <m:rPr>
                <m:nor/>
                <m:sty m:val="p"/>
              </m:rPr>
              <m:t>surr</m:t>
            </m:r>
          </m:sub>
        </m:sSub>
        <m:r>
          <m:rPr>
            <m:sty m:val="p"/>
          </m:rPr>
          <m:t>=</m:t>
        </m:r>
        <m:r>
          <m:t> </m:t>
        </m:r>
        <m:f>
          <m:fPr>
            <m:type m:val="bar"/>
          </m:fPr>
          <m:num>
            <m:sSub>
              <m:e>
                <m:r>
                  <m:t>q</m:t>
                </m:r>
              </m:e>
              <m:sub>
                <m:r>
                  <m:rPr>
                    <m:nor/>
                    <m:sty m:val="p"/>
                  </m:rPr>
                  <m:t>rev</m:t>
                </m:r>
              </m:sub>
            </m:sSub>
          </m:num>
          <m:den>
            <m:sSub>
              <m:e>
                <m:r>
                  <m:t>T</m:t>
                </m:r>
              </m:e>
              <m:sub>
                <m:r>
                  <m:rPr>
                    <m:nor/>
                    <m:sty m:val="p"/>
                  </m:rPr>
                  <m:t>surr</m:t>
                </m:r>
              </m:sub>
            </m:sSub>
          </m:den>
        </m:f>
      </m:oMath>
    </w:p>
    <w:bookmarkEnd w:id="22"/>
    <w:p>
      <w:pPr>
        <w:numPr>
          <w:ilvl w:val="0"/>
          <w:numId w:val="1000"/>
        </w:numPr>
        <w:pStyle w:val="Compact"/>
      </w:pPr>
      <w:r>
        <w:t xml:space="preserve">The magnitudes of −</w:t>
      </w:r>
      <w:r>
        <w:rPr>
          <w:iCs/>
          <w:i/>
        </w:rPr>
        <w:t xml:space="preserve">q</w:t>
      </w:r>
      <w:r>
        <w:rPr>
          <w:vertAlign w:val="subscript"/>
        </w:rPr>
        <w:t xml:space="preserve">rev</w:t>
      </w:r>
      <w:r>
        <w:t xml:space="preserve"> </w:t>
      </w:r>
      <w:r>
        <w:t xml:space="preserve">and</w:t>
      </w:r>
      <w:r>
        <w:t xml:space="preserve"> </w:t>
      </w:r>
      <w:r>
        <w:rPr>
          <w:iCs/>
          <w:i/>
        </w:rPr>
        <w:t xml:space="preserve">q</w:t>
      </w:r>
      <w:r>
        <w:rPr>
          <w:vertAlign w:val="subscript"/>
        </w:rPr>
        <w:t xml:space="preserve">rev</w:t>
      </w:r>
      <w:r>
        <w:t xml:space="preserve"> </w:t>
      </w:r>
      <w:r>
        <w:t xml:space="preserve">are equal, their opposite arithmetic signs denoting loss of heat by the system and gain of heat by the surroundings. Since</w:t>
      </w:r>
      <w:r>
        <w:t xml:space="preserve"> </w:t>
      </w:r>
      <w:r>
        <w:rPr>
          <w:iCs/>
          <w:i/>
        </w:rPr>
        <w:t xml:space="preserve">T</w:t>
      </w:r>
      <w:r>
        <w:rPr>
          <w:vertAlign w:val="subscript"/>
        </w:rPr>
        <w:t xml:space="preserve">sys</w:t>
      </w:r>
      <w:r>
        <w:t xml:space="preserve"> </w:t>
      </w:r>
      <w:r>
        <w:t xml:space="preserve">&gt;</w:t>
      </w:r>
      <w:r>
        <w:t xml:space="preserve"> </w:t>
      </w:r>
      <w:r>
        <w:rPr>
          <w:iCs/>
          <w:i/>
        </w:rPr>
        <w:t xml:space="preserve">T</w:t>
      </w:r>
      <w:r>
        <w:rPr>
          <w:vertAlign w:val="subscript"/>
        </w:rPr>
        <w:t xml:space="preserve">surr</w:t>
      </w:r>
      <w:r>
        <w:t xml:space="preserve"> </w:t>
      </w:r>
      <w:r>
        <w:t xml:space="preserve">in this scenario, the entropy</w:t>
      </w:r>
      <w:r>
        <w:t xml:space="preserve"> </w:t>
      </w:r>
      <w:r>
        <w:rPr>
          <w:iCs/>
          <w:i/>
        </w:rPr>
        <w:t xml:space="preserve">decrease</w:t>
      </w:r>
      <w:r>
        <w:t xml:space="preserve"> </w:t>
      </w:r>
      <w:r>
        <w:t xml:space="preserve">of the system will be less than the entropy</w:t>
      </w:r>
      <w:r>
        <w:t xml:space="preserve"> </w:t>
      </w:r>
      <w:r>
        <w:rPr>
          <w:iCs/>
          <w:i/>
        </w:rPr>
        <w:t xml:space="preserve">increase</w:t>
      </w:r>
      <w:r>
        <w:t xml:space="preserve"> </w:t>
      </w:r>
      <w:r>
        <w:t xml:space="preserve">of the surroundings, and so</w:t>
      </w:r>
      <w:r>
        <w:t xml:space="preserve"> </w:t>
      </w:r>
      <w:r>
        <w:rPr>
          <w:iCs/>
          <w:i/>
        </w:rPr>
        <w:t xml:space="preserve">the entropy of the universe will increase</w:t>
      </w:r>
      <w:r>
        <w:t xml:space="preserve">:</w:t>
      </w:r>
    </w:p>
    <w:bookmarkStart w:id="26" w:name="fs-idm241116384"/>
    <w:p>
      <w:pPr>
        <w:numPr>
          <w:ilvl w:val="0"/>
          <w:numId w:val="1000"/>
        </w:numPr>
        <w:pStyle w:val="Compact"/>
      </w:pPr>
      <w:r>
        <w:drawing>
          <wp:inline>
            <wp:extent cx="1771650" cy="371475"/>
            <wp:effectExtent b="0" l="0" r="0" t="0"/>
            <wp:docPr descr="None" title="" id="24" name="Picture"/>
            <a:graphic>
              <a:graphicData uri="http://schemas.openxmlformats.org/drawingml/2006/picture">
                <pic:pic>
                  <pic:nvPicPr>
                    <pic:cNvPr descr="../resources/f28f1246a791387b244d26ad8194490c18c1e9a6" id="25" name="Picture"/>
                    <pic:cNvPicPr>
                      <a:picLocks noChangeArrowheads="1" noChangeAspect="1"/>
                    </pic:cNvPicPr>
                  </pic:nvPicPr>
                  <pic:blipFill>
                    <a:blip r:embed="rId23"/>
                    <a:stretch>
                      <a:fillRect/>
                    </a:stretch>
                  </pic:blipFill>
                  <pic:spPr bwMode="auto">
                    <a:xfrm>
                      <a:off x="0" y="0"/>
                      <a:ext cx="1771650" cy="371475"/>
                    </a:xfrm>
                    <a:prstGeom prst="rect">
                      <a:avLst/>
                    </a:prstGeom>
                    <a:noFill/>
                    <a:ln w="9525">
                      <a:noFill/>
                      <a:headEnd/>
                      <a:tailEnd/>
                    </a:ln>
                  </pic:spPr>
                </pic:pic>
              </a:graphicData>
            </a:graphic>
          </wp:inline>
        </w:drawing>
      </w:r>
    </w:p>
    <w:bookmarkEnd w:id="26"/>
    <w:p>
      <w:pPr>
        <w:numPr>
          <w:ilvl w:val="0"/>
          <w:numId w:val="1002"/>
        </w:numPr>
        <w:pStyle w:val="Compact"/>
      </w:pPr>
      <w:r>
        <w:t xml:space="preserve">The objects are at different temperatures, and heat flows from the cooler to the hotter object.</w:t>
      </w:r>
      <w:r>
        <w:t xml:space="preserve"> </w:t>
      </w:r>
      <w:r>
        <w:rPr>
          <w:iCs/>
          <w:i/>
        </w:rPr>
        <w:t xml:space="preserve">This is never observed to occur spontaneously.</w:t>
      </w:r>
      <w:r>
        <w:t xml:space="preserve"> </w:t>
      </w:r>
      <w:r>
        <w:t xml:space="preserve">Again designating the hotter object as the system and invoking the definition of entropy yields the following:</w:t>
      </w:r>
    </w:p>
    <w:bookmarkStart w:id="27" w:name="fs-idp14273600"/>
    <w:p>
      <w:pPr>
        <w:numPr>
          <w:ilvl w:val="0"/>
          <w:numId w:val="1000"/>
        </w:numPr>
      </w:pPr>
      <m:oMath>
        <m:r>
          <m:rPr>
            <m:nor/>
            <m:sty m:val="p"/>
          </m:rPr>
          <m:t>Δ</m:t>
        </m:r>
        <m:sSub>
          <m:e>
            <m:r>
              <m:t>S</m:t>
            </m:r>
          </m:e>
          <m:sub>
            <m:r>
              <m:rPr>
                <m:nor/>
                <m:sty m:val="p"/>
              </m:rPr>
              <m:t>sys</m:t>
            </m:r>
          </m:sub>
        </m:sSub>
        <m:r>
          <m:rPr>
            <m:sty m:val="p"/>
          </m:rPr>
          <m:t>=</m:t>
        </m:r>
        <m:r>
          <m:t> </m:t>
        </m:r>
        <m:f>
          <m:fPr>
            <m:type m:val="bar"/>
          </m:fPr>
          <m:num>
            <m:sSub>
              <m:e>
                <m:r>
                  <m:t>q</m:t>
                </m:r>
              </m:e>
              <m:sub>
                <m:r>
                  <m:rPr>
                    <m:nor/>
                    <m:sty m:val="p"/>
                  </m:rPr>
                  <m:t>rev</m:t>
                </m:r>
              </m:sub>
            </m:sSub>
          </m:num>
          <m:den>
            <m:sSub>
              <m:e>
                <m:r>
                  <m:t>T</m:t>
                </m:r>
              </m:e>
              <m:sub>
                <m:r>
                  <m:rPr>
                    <m:nor/>
                    <m:sty m:val="p"/>
                  </m:rPr>
                  <m:t>sys</m:t>
                </m:r>
              </m:sub>
            </m:sSub>
          </m:den>
        </m:f>
        <m:r>
          <m:t>  </m:t>
        </m:r>
        <m:r>
          <m:rPr>
            <m:nor/>
            <m:sty m:val="p"/>
          </m:rPr>
          <m:t>and</m:t>
        </m:r>
        <m:r>
          <m:t>  </m:t>
        </m:r>
        <m:r>
          <m:rPr>
            <m:nor/>
            <m:sty m:val="p"/>
          </m:rPr>
          <m:t>Δ</m:t>
        </m:r>
        <m:sSub>
          <m:e>
            <m:r>
              <m:t>S</m:t>
            </m:r>
          </m:e>
          <m:sub>
            <m:r>
              <m:rPr>
                <m:nor/>
                <m:sty m:val="p"/>
              </m:rPr>
              <m:t>surr</m:t>
            </m:r>
          </m:sub>
        </m:sSub>
        <m:r>
          <m:rPr>
            <m:sty m:val="p"/>
          </m:rPr>
          <m:t>=</m:t>
        </m:r>
        <m:r>
          <m:t> </m:t>
        </m:r>
        <m:f>
          <m:fPr>
            <m:type m:val="bar"/>
          </m:fPr>
          <m:num>
            <m:r>
              <m:rPr>
                <m:nor/>
                <m:sty m:val="p"/>
              </m:rPr>
              <m:t>−</m:t>
            </m:r>
            <m:sSub>
              <m:e>
                <m:r>
                  <m:t>q</m:t>
                </m:r>
              </m:e>
              <m:sub>
                <m:r>
                  <m:rPr>
                    <m:nor/>
                    <m:sty m:val="p"/>
                  </m:rPr>
                  <m:t>rev</m:t>
                </m:r>
              </m:sub>
            </m:sSub>
          </m:num>
          <m:den>
            <m:sSub>
              <m:e>
                <m:r>
                  <m:t>T</m:t>
                </m:r>
              </m:e>
              <m:sub>
                <m:r>
                  <m:rPr>
                    <m:nor/>
                    <m:sty m:val="p"/>
                  </m:rPr>
                  <m:t>surr</m:t>
                </m:r>
              </m:sub>
            </m:sSub>
          </m:den>
        </m:f>
      </m:oMath>
    </w:p>
    <w:bookmarkEnd w:id="27"/>
    <w:p>
      <w:pPr>
        <w:numPr>
          <w:ilvl w:val="0"/>
          <w:numId w:val="1000"/>
        </w:numPr>
        <w:pStyle w:val="Compact"/>
      </w:pPr>
      <w:r>
        <w:t xml:space="preserve">The arithmetic signs of</w:t>
      </w:r>
      <w:r>
        <w:t xml:space="preserve"> </w:t>
      </w:r>
      <w:r>
        <w:rPr>
          <w:iCs/>
          <w:i/>
        </w:rPr>
        <w:t xml:space="preserve">q</w:t>
      </w:r>
      <w:r>
        <w:rPr>
          <w:vertAlign w:val="subscript"/>
        </w:rPr>
        <w:t xml:space="preserve">rev</w:t>
      </w:r>
      <w:r>
        <w:t xml:space="preserve"> </w:t>
      </w:r>
      <w:r>
        <w:t xml:space="preserve">denote the gain of heat by the system and the loss of heat by the surroundings. The magnitude of the entropy change for the surroundings will again be greater than that for the system, but in this case, the signs of the heat changes (that is,</w:t>
      </w:r>
      <w:r>
        <w:t xml:space="preserve"> </w:t>
      </w:r>
      <w:r>
        <w:rPr>
          <w:iCs/>
          <w:i/>
        </w:rPr>
        <w:t xml:space="preserve">the direction of the heat flow</w:t>
      </w:r>
      <w:r>
        <w:t xml:space="preserve">) will yield a negative value for Δ</w:t>
      </w:r>
      <w:r>
        <w:rPr>
          <w:iCs/>
          <w:i/>
        </w:rPr>
        <w:t xml:space="preserve">S</w:t>
      </w:r>
      <w:r>
        <w:rPr>
          <w:vertAlign w:val="subscript"/>
        </w:rPr>
        <w:t xml:space="preserve">univ</w:t>
      </w:r>
      <w:r>
        <w:t xml:space="preserve">.</w:t>
      </w:r>
      <w:r>
        <w:t xml:space="preserve"> </w:t>
      </w:r>
      <w:r>
        <w:rPr>
          <w:iCs/>
          <w:i/>
        </w:rPr>
        <w:t xml:space="preserve">This process involves a decrease in the entropy of the universe.</w:t>
      </w:r>
    </w:p>
    <w:p>
      <w:pPr>
        <w:numPr>
          <w:ilvl w:val="0"/>
          <w:numId w:val="1002"/>
        </w:numPr>
        <w:pStyle w:val="Compact"/>
      </w:pPr>
      <w:r>
        <w:t xml:space="preserve">The objects are at essentially the same temperature,</w:t>
      </w:r>
      <w:r>
        <w:t xml:space="preserve"> </w:t>
      </w:r>
      <w:r>
        <w:rPr>
          <w:iCs/>
          <w:i/>
        </w:rPr>
        <w:t xml:space="preserve">T</w:t>
      </w:r>
      <w:r>
        <w:rPr>
          <w:vertAlign w:val="subscript"/>
        </w:rPr>
        <w:t xml:space="preserve">sys</w:t>
      </w:r>
      <w:r>
        <w:t xml:space="preserve"> </w:t>
      </w:r>
      <w:r>
        <w:t xml:space="preserve">≈</w:t>
      </w:r>
      <w:r>
        <w:t xml:space="preserve"> </w:t>
      </w:r>
      <w:r>
        <w:rPr>
          <w:iCs/>
          <w:i/>
        </w:rPr>
        <w:t xml:space="preserve">T</w:t>
      </w:r>
      <w:r>
        <w:rPr>
          <w:vertAlign w:val="subscript"/>
        </w:rPr>
        <w:t xml:space="preserve">surr</w:t>
      </w:r>
      <w:r>
        <w:t xml:space="preserve">, and so the magnitudes of the entropy changes are essentially the same for both the system and the surroundings. In this case, the entropy change of the universe is zero, and the system is</w:t>
      </w:r>
      <w:r>
        <w:t xml:space="preserve"> </w:t>
      </w:r>
      <w:r>
        <w:rPr>
          <w:iCs/>
          <w:i/>
        </w:rPr>
        <w:t xml:space="preserve">at equilibrium</w:t>
      </w:r>
      <w:r>
        <w:t xml:space="preserve">.</w:t>
      </w:r>
    </w:p>
    <w:bookmarkStart w:id="31" w:name="fs-idm250691808"/>
    <w:p>
      <w:pPr>
        <w:numPr>
          <w:ilvl w:val="0"/>
          <w:numId w:val="1000"/>
        </w:numPr>
        <w:pStyle w:val="Compact"/>
      </w:pPr>
      <w:r>
        <w:drawing>
          <wp:inline>
            <wp:extent cx="1771650" cy="371475"/>
            <wp:effectExtent b="0" l="0" r="0" t="0"/>
            <wp:docPr descr="None" title="" id="29" name="Picture"/>
            <a:graphic>
              <a:graphicData uri="http://schemas.openxmlformats.org/drawingml/2006/picture">
                <pic:pic>
                  <pic:nvPicPr>
                    <pic:cNvPr descr="../resources/5ab16398e2cc338fc5e6be301bffcbba5f130782" id="30" name="Picture"/>
                    <pic:cNvPicPr>
                      <a:picLocks noChangeArrowheads="1" noChangeAspect="1"/>
                    </pic:cNvPicPr>
                  </pic:nvPicPr>
                  <pic:blipFill>
                    <a:blip r:embed="rId28"/>
                    <a:stretch>
                      <a:fillRect/>
                    </a:stretch>
                  </pic:blipFill>
                  <pic:spPr bwMode="auto">
                    <a:xfrm>
                      <a:off x="0" y="0"/>
                      <a:ext cx="1771650" cy="371475"/>
                    </a:xfrm>
                    <a:prstGeom prst="rect">
                      <a:avLst/>
                    </a:prstGeom>
                    <a:noFill/>
                    <a:ln w="9525">
                      <a:noFill/>
                      <a:headEnd/>
                      <a:tailEnd/>
                    </a:ln>
                  </pic:spPr>
                </pic:pic>
              </a:graphicData>
            </a:graphic>
          </wp:inline>
        </w:drawing>
      </w:r>
    </w:p>
    <w:bookmarkEnd w:id="31"/>
    <w:p>
      <w:pPr>
        <w:pStyle w:val="FirstParagraph"/>
      </w:pPr>
      <w:r>
        <w:t xml:space="preserve">These results lead to a profound statement regarding the relation between entropy and spontaneity known as the</w:t>
      </w:r>
      <w:r>
        <w:t xml:space="preserve"> </w:t>
      </w:r>
      <w:bookmarkStart w:id="32" w:name="term-00001"/>
      <w:r>
        <w:t xml:space="preserve">second law of thermodynamics</w:t>
      </w:r>
      <w:bookmarkEnd w:id="32"/>
      <w:r>
        <w:t xml:space="preserve">:</w:t>
      </w:r>
      <w:r>
        <w:t xml:space="preserve"> </w:t>
      </w:r>
      <w:r>
        <w:rPr>
          <w:iCs/>
          <w:i/>
        </w:rPr>
        <w:t xml:space="preserve">all spontaneous changes cause an increase in the entropy of the universe.</w:t>
      </w:r>
      <w:r>
        <w:t xml:space="preserve"> </w:t>
      </w:r>
      <w:r>
        <w:t xml:space="preserve">A summary of these three relations is provided in</w:t>
      </w:r>
      <w:r>
        <w:t xml:space="preserve"> </w:t>
      </w:r>
      <w:hyperlink w:anchor="fs-idp41455824">
        <w:r>
          <w:rPr>
            <w:rStyle w:val="InternetLink"/>
          </w:rPr>
          <w:t xml:space="preserve">Table 16.1</w:t>
        </w:r>
      </w:hyperlink>
      <w:r>
        <w:t xml:space="preserve">.</w:t>
      </w:r>
    </w:p>
    <w:p>
      <w:pPr>
        <w:pStyle w:val="TextBody"/>
      </w:pPr>
      <w:r>
        <w:t xml:space="preserve">The Second Law of Thermodynamics</w:t>
      </w:r>
    </w:p>
    <w:bookmarkStart w:id="33" w:name="fs-idp41455824"/>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Δ</w:t>
            </w:r>
            <w:r>
              <w:rPr>
                <w:iCs/>
                <w:i/>
              </w:rPr>
              <w:t xml:space="preserve">S</w:t>
            </w:r>
            <w:r>
              <w:rPr>
                <w:vertAlign w:val="subscript"/>
              </w:rPr>
              <w:t xml:space="preserve">univ</w:t>
            </w:r>
            <w:r>
              <w:t xml:space="preserve"> </w:t>
            </w:r>
            <w:r>
              <w:t xml:space="preserve">&gt; 0</w:t>
            </w:r>
          </w:p>
        </w:tc>
        <w:tc>
          <w:tcPr/>
          <w:p>
            <w:pPr>
              <w:pStyle w:val="Compact"/>
              <w:jc w:val="left"/>
            </w:pPr>
            <w:r>
              <w:t xml:space="preserve">spontaneous</w:t>
            </w:r>
          </w:p>
        </w:tc>
      </w:tr>
      <w:tr>
        <w:tc>
          <w:tcPr/>
          <w:p>
            <w:pPr>
              <w:pStyle w:val="Compact"/>
              <w:jc w:val="left"/>
            </w:pPr>
            <w:r>
              <w:t xml:space="preserve">Δ</w:t>
            </w:r>
            <w:r>
              <w:rPr>
                <w:iCs/>
                <w:i/>
              </w:rPr>
              <w:t xml:space="preserve">S</w:t>
            </w:r>
            <w:r>
              <w:rPr>
                <w:vertAlign w:val="subscript"/>
              </w:rPr>
              <w:t xml:space="preserve">univ</w:t>
            </w:r>
            <w:r>
              <w:t xml:space="preserve"> </w:t>
            </w:r>
            <w:r>
              <w:t xml:space="preserve">&lt; 0</w:t>
            </w:r>
          </w:p>
        </w:tc>
        <w:tc>
          <w:tcPr/>
          <w:p>
            <w:pPr>
              <w:pStyle w:val="Compact"/>
              <w:jc w:val="left"/>
            </w:pPr>
            <w:r>
              <w:t xml:space="preserve">nonspontaneous (spontaneous in opposite direction)</w:t>
            </w:r>
          </w:p>
        </w:tc>
      </w:tr>
      <w:tr>
        <w:tc>
          <w:tcPr/>
          <w:p>
            <w:pPr>
              <w:pStyle w:val="Compact"/>
              <w:jc w:val="left"/>
            </w:pPr>
            <w:r>
              <w:t xml:space="preserve">Δ</w:t>
            </w:r>
            <w:r>
              <w:rPr>
                <w:iCs/>
                <w:i/>
              </w:rPr>
              <w:t xml:space="preserve">S</w:t>
            </w:r>
            <w:r>
              <w:rPr>
                <w:vertAlign w:val="subscript"/>
              </w:rPr>
              <w:t xml:space="preserve">univ</w:t>
            </w:r>
            <w:r>
              <w:t xml:space="preserve"> </w:t>
            </w:r>
            <w:r>
              <w:t xml:space="preserve">= 0</w:t>
            </w:r>
          </w:p>
        </w:tc>
        <w:tc>
          <w:tcPr/>
          <w:p>
            <w:pPr>
              <w:pStyle w:val="Compact"/>
              <w:jc w:val="left"/>
            </w:pPr>
            <w:r>
              <w:t xml:space="preserve">at equilibrium</w:t>
            </w:r>
          </w:p>
        </w:tc>
      </w:tr>
    </w:tbl>
    <w:bookmarkEnd w:id="33"/>
    <w:p>
      <w:pPr>
        <w:pStyle w:val="TextBody"/>
      </w:pPr>
      <w:r>
        <w:t xml:space="preserve">Table</w:t>
      </w:r>
      <w:r>
        <w:t xml:space="preserve"> </w:t>
      </w:r>
      <w:r>
        <w:t xml:space="preserve"> </w:t>
      </w:r>
      <w:r>
        <w:t xml:space="preserve">16.1</w:t>
      </w:r>
      <w:r>
        <w:t xml:space="preserve"> </w:t>
      </w:r>
      <w:r>
        <w:t xml:space="preserve"> </w:t>
      </w:r>
      <w:r>
        <w:t xml:space="preserve"> </w:t>
      </w:r>
      <w:r>
        <w:t xml:space="preserve"> </w:t>
      </w:r>
    </w:p>
    <w:p>
      <w:pPr>
        <w:pStyle w:val="TextBody"/>
      </w:pPr>
      <w:r>
        <w:t xml:space="preserve">For many realistic applications, the surroundings are vast in comparison to the system. In such cases, the heat gained or lost by the surroundings as a result of some process represents a very small, nearly infinitesimal, fraction of its total thermal energy. For example, combustion of a fuel in air involves transfer of heat from a system (the fuel and oxygen molecules undergoing reaction) to surroundings that are infinitely more massive (the earth’s atmosphere). As a result,</w:t>
      </w:r>
      <w:r>
        <w:t xml:space="preserve"> </w:t>
      </w:r>
      <w:r>
        <w:rPr>
          <w:iCs/>
          <w:i/>
        </w:rPr>
        <w:t xml:space="preserve">q</w:t>
      </w:r>
      <w:r>
        <w:rPr>
          <w:vertAlign w:val="subscript"/>
        </w:rPr>
        <w:t xml:space="preserve">surr</w:t>
      </w:r>
      <w:r>
        <w:t xml:space="preserve"> </w:t>
      </w:r>
      <w:r>
        <w:t xml:space="preserve">is a good approximation of</w:t>
      </w:r>
      <w:r>
        <w:t xml:space="preserve"> </w:t>
      </w:r>
      <w:r>
        <w:rPr>
          <w:iCs/>
          <w:i/>
        </w:rPr>
        <w:t xml:space="preserve">q</w:t>
      </w:r>
      <w:r>
        <w:rPr>
          <w:vertAlign w:val="subscript"/>
        </w:rPr>
        <w:t xml:space="preserve">rev</w:t>
      </w:r>
      <w:r>
        <w:t xml:space="preserve">, and the second law may be stated as the following:</w:t>
      </w:r>
    </w:p>
    <w:bookmarkStart w:id="34" w:name="fs-idp179481536"/>
    <w:p>
      <w:pPr>
        <w:pStyle w:val="TextBody"/>
      </w:pPr>
      <m:oMath>
        <m:r>
          <m:rPr>
            <m:nor/>
            <m:sty m:val="p"/>
          </m:rPr>
          <m:t>Δ</m:t>
        </m:r>
        <m:sSub>
          <m:e>
            <m:r>
              <m:t>S</m:t>
            </m:r>
          </m:e>
          <m:sub>
            <m:r>
              <m:rPr>
                <m:nor/>
                <m:sty m:val="p"/>
              </m:rPr>
              <m:t>univ</m:t>
            </m:r>
          </m:sub>
        </m:sSub>
        <m:r>
          <m:rPr>
            <m:sty m:val="p"/>
          </m:rPr>
          <m:t>=</m:t>
        </m:r>
        <m:r>
          <m:rPr>
            <m:nor/>
            <m:sty m:val="p"/>
          </m:rPr>
          <m:t>Δ</m:t>
        </m:r>
        <m:sSub>
          <m:e>
            <m:r>
              <m:t>S</m:t>
            </m:r>
          </m:e>
          <m:sub>
            <m:r>
              <m:rPr>
                <m:nor/>
                <m:sty m:val="p"/>
              </m:rPr>
              <m:t>sys</m:t>
            </m:r>
          </m:sub>
        </m:sSub>
        <m:r>
          <m:rPr>
            <m:sty m:val="p"/>
          </m:rPr>
          <m:t>+</m:t>
        </m:r>
        <m:r>
          <m:rPr>
            <m:nor/>
            <m:sty m:val="p"/>
          </m:rPr>
          <m:t>Δ</m:t>
        </m:r>
        <m:sSub>
          <m:e>
            <m:r>
              <m:t>S</m:t>
            </m:r>
          </m:e>
          <m:sub>
            <m:r>
              <m:rPr>
                <m:nor/>
                <m:sty m:val="p"/>
              </m:rPr>
              <m:t>surr</m:t>
            </m:r>
          </m:sub>
        </m:sSub>
        <m:r>
          <m:rPr>
            <m:sty m:val="p"/>
          </m:rPr>
          <m:t>=</m:t>
        </m:r>
        <m:r>
          <m:rPr>
            <m:nor/>
            <m:sty m:val="p"/>
          </m:rPr>
          <m:t>Δ</m:t>
        </m:r>
        <m:sSub>
          <m:e>
            <m:r>
              <m:t>S</m:t>
            </m:r>
          </m:e>
          <m:sub>
            <m:r>
              <m:rPr>
                <m:nor/>
                <m:sty m:val="p"/>
              </m:rPr>
              <m:t>sys</m:t>
            </m:r>
          </m:sub>
        </m:sSub>
        <m:r>
          <m:rPr>
            <m:sty m:val="p"/>
          </m:rPr>
          <m:t>+</m:t>
        </m:r>
        <m:f>
          <m:fPr>
            <m:type m:val="bar"/>
          </m:fPr>
          <m:num>
            <m:sSub>
              <m:e>
                <m:r>
                  <m:t>q</m:t>
                </m:r>
              </m:e>
              <m:sub>
                <m:r>
                  <m:rPr>
                    <m:nor/>
                    <m:sty m:val="p"/>
                  </m:rPr>
                  <m:t>surr</m:t>
                </m:r>
              </m:sub>
            </m:sSub>
          </m:num>
          <m:den>
            <m:r>
              <m:t>T</m:t>
            </m:r>
          </m:den>
        </m:f>
      </m:oMath>
    </w:p>
    <w:bookmarkEnd w:id="34"/>
    <w:p>
      <w:pPr>
        <w:pStyle w:val="TextBody"/>
      </w:pPr>
      <w:r>
        <w:t xml:space="preserve">We may use this equation to predict the spontaneity of a process as illustrated in</w:t>
      </w:r>
      <w:r>
        <w:t xml:space="preserve"> </w:t>
      </w:r>
      <w:hyperlink w:anchor="fs-idp33042160">
        <w:r>
          <w:rPr>
            <w:rStyle w:val="InternetLink"/>
          </w:rPr>
          <w:t xml:space="preserve">Example 16.4</w:t>
        </w:r>
      </w:hyperlink>
      <w:r>
        <w:t xml:space="preserve">.</w:t>
      </w:r>
    </w:p>
    <w:bookmarkStart w:id="45" w:name="fs-idp33042160"/>
    <w:p>
      <w:pPr>
        <w:pStyle w:val="Heading3Grey"/>
      </w:pPr>
      <w:r>
        <w:t xml:space="preserve">Example</w:t>
      </w:r>
      <w:r>
        <w:t xml:space="preserve"> </w:t>
      </w:r>
      <w:r>
        <w:t xml:space="preserve"> </w:t>
      </w:r>
      <w:r>
        <w:t xml:space="preserve">16.4</w:t>
      </w:r>
      <w:r>
        <w:t xml:space="preserve"> </w:t>
      </w:r>
      <w:r>
        <w:t xml:space="preserve"> </w:t>
      </w:r>
    </w:p>
    <w:p>
      <w:pPr>
        <w:pStyle w:val="Heading4Grey"/>
      </w:pPr>
      <w:r>
        <w:t xml:space="preserve">Will Ice Spontaneously Melt?</w:t>
      </w:r>
    </w:p>
    <w:p>
      <w:pPr>
        <w:pStyle w:val="NoteExampleGrey"/>
      </w:pPr>
      <w:r>
        <w:t xml:space="preserve">The entropy change for the process</w:t>
      </w:r>
    </w:p>
    <w:bookmarkStart w:id="35" w:name="fs-idp179791152"/>
    <w:p>
      <w:pPr>
        <w:pStyle w:val="NoteExampleGrey"/>
      </w:pPr>
      <m:oMath>
        <m:sSub>
          <m:e>
            <m:r>
              <m:rPr>
                <m:nor/>
                <m:sty m:val="p"/>
              </m:rPr>
              <m:t>H</m:t>
            </m:r>
          </m:e>
          <m:sub>
            <m:r>
              <m:t>2</m:t>
            </m:r>
          </m:sub>
        </m:sSub>
        <m:r>
          <m:rPr>
            <m:nor/>
            <m:sty m:val="p"/>
          </m:rPr>
          <m:t>O</m:t>
        </m:r>
        <m:d>
          <m:dPr>
            <m:begChr m:val="("/>
            <m:endChr m:val=")"/>
            <m:sepChr m:val=""/>
            <m:grow/>
          </m:dPr>
          <m:e>
            <m:r>
              <m:t>s</m:t>
            </m:r>
          </m:e>
        </m:d>
        <m:r>
          <m:t> </m:t>
        </m:r>
        <m:r>
          <m:rPr>
            <m:sty m:val="p"/>
          </m:rPr>
          <m:t>→</m:t>
        </m:r>
        <m:r>
          <m:t> </m:t>
        </m:r>
        <m:sSub>
          <m:e>
            <m:r>
              <m:rPr>
                <m:nor/>
                <m:sty m:val="p"/>
              </m:rPr>
              <m:t>H</m:t>
            </m:r>
          </m:e>
          <m:sub>
            <m:r>
              <m:t>2</m:t>
            </m:r>
          </m:sub>
        </m:sSub>
        <m:r>
          <m:rPr>
            <m:nor/>
            <m:sty m:val="p"/>
          </m:rPr>
          <m:t>O</m:t>
        </m:r>
        <m:d>
          <m:dPr>
            <m:begChr m:val="("/>
            <m:endChr m:val=")"/>
            <m:sepChr m:val=""/>
            <m:grow/>
          </m:dPr>
          <m:e>
            <m:r>
              <m:t>l</m:t>
            </m:r>
          </m:e>
        </m:d>
      </m:oMath>
    </w:p>
    <w:bookmarkEnd w:id="35"/>
    <w:p>
      <w:pPr>
        <w:pStyle w:val="NoteExampleGrey"/>
      </w:pPr>
      <w:r>
        <w:t xml:space="preserve">is 22.1 J/K and requires that the surroundings transfer 6.00 kJ of heat to the system. Is the process spontaneous at −10.00 °C? Is it spontaneous at +10.00 °C?</w:t>
      </w:r>
    </w:p>
    <w:p>
      <w:pPr>
        <w:pStyle w:val="Heading4Grey"/>
      </w:pPr>
      <w:r>
        <w:t xml:space="preserve">Solution</w:t>
      </w:r>
    </w:p>
    <w:p>
      <w:pPr>
        <w:pStyle w:val="NoteExampleGrey"/>
      </w:pPr>
      <w:r>
        <w:t xml:space="preserve">We can assess the spontaneity of the process by calculating the entropy change of the universe. If Δ</w:t>
      </w:r>
      <w:r>
        <w:rPr>
          <w:iCs/>
          <w:i/>
        </w:rPr>
        <w:t xml:space="preserve">S</w:t>
      </w:r>
      <w:r>
        <w:rPr>
          <w:vertAlign w:val="subscript"/>
        </w:rPr>
        <w:t xml:space="preserve">univ</w:t>
      </w:r>
      <w:r>
        <w:t xml:space="preserve"> </w:t>
      </w:r>
      <w:r>
        <w:t xml:space="preserve">is positive, then the process is spontaneous. At both temperatures, Δ</w:t>
      </w:r>
      <w:r>
        <w:rPr>
          <w:iCs/>
          <w:i/>
        </w:rPr>
        <w:t xml:space="preserve">S</w:t>
      </w:r>
      <w:r>
        <w:rPr>
          <w:vertAlign w:val="subscript"/>
        </w:rPr>
        <w:t xml:space="preserve">sys</w:t>
      </w:r>
      <w:r>
        <w:t xml:space="preserve"> </w:t>
      </w:r>
      <w:r>
        <w:t xml:space="preserve">= 22.1 J/K and</w:t>
      </w:r>
      <w:r>
        <w:t xml:space="preserve"> </w:t>
      </w:r>
      <w:r>
        <w:rPr>
          <w:iCs/>
          <w:i/>
        </w:rPr>
        <w:t xml:space="preserve">q</w:t>
      </w:r>
      <w:r>
        <w:rPr>
          <w:vertAlign w:val="subscript"/>
        </w:rPr>
        <w:t xml:space="preserve">surr</w:t>
      </w:r>
      <w:r>
        <w:t xml:space="preserve"> </w:t>
      </w:r>
      <w:r>
        <w:t xml:space="preserve">= −6.00 kJ.</w:t>
      </w:r>
    </w:p>
    <w:p>
      <w:pPr>
        <w:pStyle w:val="NoteExampleGrey"/>
      </w:pPr>
      <w:r>
        <w:t xml:space="preserve">At −10.00 °C (263.15 K), the following is true:</w:t>
      </w:r>
    </w:p>
    <w:bookmarkStart w:id="39" w:name="fs-idp170559696"/>
    <w:p>
      <w:pPr>
        <w:pStyle w:val="NoteExampleGrey"/>
      </w:pPr>
      <w:r>
        <w:drawing>
          <wp:inline>
            <wp:extent cx="2933700" cy="428625"/>
            <wp:effectExtent b="0" l="0" r="0" t="0"/>
            <wp:docPr descr="None" title="" id="37" name="Picture"/>
            <a:graphic>
              <a:graphicData uri="http://schemas.openxmlformats.org/drawingml/2006/picture">
                <pic:pic>
                  <pic:nvPicPr>
                    <pic:cNvPr descr="../resources/f554fe3dbb6a09b42053da28a41fb7ba46202305" id="38" name="Picture"/>
                    <pic:cNvPicPr>
                      <a:picLocks noChangeArrowheads="1" noChangeAspect="1"/>
                    </pic:cNvPicPr>
                  </pic:nvPicPr>
                  <pic:blipFill>
                    <a:blip r:embed="rId36"/>
                    <a:stretch>
                      <a:fillRect/>
                    </a:stretch>
                  </pic:blipFill>
                  <pic:spPr bwMode="auto">
                    <a:xfrm>
                      <a:off x="0" y="0"/>
                      <a:ext cx="2933700" cy="428625"/>
                    </a:xfrm>
                    <a:prstGeom prst="rect">
                      <a:avLst/>
                    </a:prstGeom>
                    <a:noFill/>
                    <a:ln w="9525">
                      <a:noFill/>
                      <a:headEnd/>
                      <a:tailEnd/>
                    </a:ln>
                  </pic:spPr>
                </pic:pic>
              </a:graphicData>
            </a:graphic>
          </wp:inline>
        </w:drawing>
      </w:r>
    </w:p>
    <w:bookmarkEnd w:id="39"/>
    <w:p>
      <w:pPr>
        <w:pStyle w:val="NoteExampleGrey"/>
      </w:pPr>
      <w:r>
        <w:rPr>
          <w:iCs/>
          <w:i/>
        </w:rPr>
        <w:t xml:space="preserve">S</w:t>
      </w:r>
      <w:r>
        <w:rPr>
          <w:vertAlign w:val="subscript"/>
        </w:rPr>
        <w:t xml:space="preserve">univ</w:t>
      </w:r>
      <w:r>
        <w:t xml:space="preserve"> </w:t>
      </w:r>
      <w:r>
        <w:t xml:space="preserve">&lt; 0, so melting is nonspontaneous (</w:t>
      </w:r>
      <w:r>
        <w:rPr>
          <w:iCs/>
          <w:i/>
        </w:rPr>
        <w:t xml:space="preserve">not</w:t>
      </w:r>
      <w:r>
        <w:t xml:space="preserve"> </w:t>
      </w:r>
      <w:r>
        <w:t xml:space="preserve">spontaneous) at −10.0 °C.</w:t>
      </w:r>
    </w:p>
    <w:p>
      <w:pPr>
        <w:pStyle w:val="NoteExampleGrey"/>
      </w:pPr>
      <w:r>
        <w:t xml:space="preserve">At 10.00 °C (283.15 K), the following is true:</w:t>
      </w:r>
    </w:p>
    <w:bookmarkStart w:id="43" w:name="fs-idm42720272"/>
    <w:p>
      <w:pPr>
        <w:pStyle w:val="NoteExampleGrey"/>
      </w:pPr>
      <w:r>
        <w:drawing>
          <wp:inline>
            <wp:extent cx="2390775" cy="561975"/>
            <wp:effectExtent b="0" l="0" r="0" t="0"/>
            <wp:docPr descr="None" title="" id="41" name="Picture"/>
            <a:graphic>
              <a:graphicData uri="http://schemas.openxmlformats.org/drawingml/2006/picture">
                <pic:pic>
                  <pic:nvPicPr>
                    <pic:cNvPr descr="../resources/dbe2880df0167e73438b02f3f4548bd330152421" id="42" name="Picture"/>
                    <pic:cNvPicPr>
                      <a:picLocks noChangeArrowheads="1" noChangeAspect="1"/>
                    </pic:cNvPicPr>
                  </pic:nvPicPr>
                  <pic:blipFill>
                    <a:blip r:embed="rId40"/>
                    <a:stretch>
                      <a:fillRect/>
                    </a:stretch>
                  </pic:blipFill>
                  <pic:spPr bwMode="auto">
                    <a:xfrm>
                      <a:off x="0" y="0"/>
                      <a:ext cx="2390775" cy="561975"/>
                    </a:xfrm>
                    <a:prstGeom prst="rect">
                      <a:avLst/>
                    </a:prstGeom>
                    <a:noFill/>
                    <a:ln w="9525">
                      <a:noFill/>
                      <a:headEnd/>
                      <a:tailEnd/>
                    </a:ln>
                  </pic:spPr>
                </pic:pic>
              </a:graphicData>
            </a:graphic>
          </wp:inline>
        </w:drawing>
      </w:r>
    </w:p>
    <w:bookmarkEnd w:id="43"/>
    <w:p>
      <w:pPr>
        <w:pStyle w:val="NoteExampleGrey"/>
      </w:pPr>
      <w:r>
        <w:rPr>
          <w:iCs/>
          <w:i/>
        </w:rPr>
        <w:t xml:space="preserve">S</w:t>
      </w:r>
      <w:r>
        <w:rPr>
          <w:vertAlign w:val="subscript"/>
        </w:rPr>
        <w:t xml:space="preserve">univ</w:t>
      </w:r>
      <w:r>
        <w:t xml:space="preserve"> </w:t>
      </w:r>
      <w:r>
        <w:t xml:space="preserve">&gt; 0, so melting</w:t>
      </w:r>
      <w:r>
        <w:t xml:space="preserve"> </w:t>
      </w:r>
      <w:r>
        <w:rPr>
          <w:iCs/>
          <w:i/>
        </w:rPr>
        <w:t xml:space="preserve">is</w:t>
      </w:r>
      <w:r>
        <w:t xml:space="preserve"> </w:t>
      </w:r>
      <w:r>
        <w:t xml:space="preserve">spontaneous at 10.00 °C.</w:t>
      </w:r>
    </w:p>
    <w:p>
      <w:pPr>
        <w:pStyle w:val="Heading4Grey"/>
      </w:pPr>
      <w:r>
        <w:t xml:space="preserve">Check Your Learning</w:t>
      </w:r>
    </w:p>
    <w:p>
      <w:pPr>
        <w:pStyle w:val="NoteExampleGrey"/>
      </w:pPr>
      <w:r>
        <w:t xml:space="preserve">Using this information, determine if liquid water will spontaneously freeze at the same temperatures. What can you say about the values of</w:t>
      </w:r>
      <w:r>
        <w:t xml:space="preserve"> </w:t>
      </w:r>
      <w:r>
        <w:rPr>
          <w:iCs/>
          <w:i/>
        </w:rPr>
        <w:t xml:space="preserve">S</w:t>
      </w:r>
      <w:r>
        <w:rPr>
          <w:vertAlign w:val="subscript"/>
        </w:rPr>
        <w:t xml:space="preserve">univ</w:t>
      </w:r>
      <w:r>
        <w:t xml:space="preserve">?</w:t>
      </w:r>
    </w:p>
    <w:bookmarkStart w:id="44" w:name="fs-idp106254880"/>
    <w:p>
      <w:pPr>
        <w:pStyle w:val="Heading3Grey"/>
      </w:pPr>
      <w:r>
        <w:t xml:space="preserve">Answer:</w:t>
      </w:r>
    </w:p>
    <w:p>
      <w:pPr>
        <w:pStyle w:val="NoteExampleGrey"/>
      </w:pPr>
      <w:r>
        <w:t xml:space="preserve">Entropy is a state function, so Δ</w:t>
      </w:r>
      <w:r>
        <w:rPr>
          <w:iCs/>
          <w:i/>
        </w:rPr>
        <w:t xml:space="preserve">S</w:t>
      </w:r>
      <w:r>
        <w:rPr>
          <w:vertAlign w:val="subscript"/>
        </w:rPr>
        <w:t xml:space="preserve">freezing</w:t>
      </w:r>
      <w:r>
        <w:t xml:space="preserve"> </w:t>
      </w:r>
      <w:r>
        <w:t xml:space="preserve">= −Δ</w:t>
      </w:r>
      <w:r>
        <w:rPr>
          <w:iCs/>
          <w:i/>
        </w:rPr>
        <w:t xml:space="preserve">S</w:t>
      </w:r>
      <w:r>
        <w:rPr>
          <w:vertAlign w:val="subscript"/>
        </w:rPr>
        <w:t xml:space="preserve">melting</w:t>
      </w:r>
      <w:r>
        <w:t xml:space="preserve"> </w:t>
      </w:r>
      <w:r>
        <w:t xml:space="preserve">= −22.1 J/K and</w:t>
      </w:r>
      <w:r>
        <w:t xml:space="preserve"> </w:t>
      </w:r>
      <w:r>
        <w:rPr>
          <w:iCs/>
          <w:i/>
        </w:rPr>
        <w:t xml:space="preserve">q</w:t>
      </w:r>
      <w:r>
        <w:rPr>
          <w:vertAlign w:val="subscript"/>
        </w:rPr>
        <w:t xml:space="preserve">surr</w:t>
      </w:r>
      <w:r>
        <w:t xml:space="preserve"> </w:t>
      </w:r>
      <w:r>
        <w:t xml:space="preserve">= +6.00 kJ. At −10.00 °C spontaneous, +0.7 J/K; at +10.00 °C nonspontaneous, −0.9 J/K.</w:t>
      </w:r>
    </w:p>
    <w:bookmarkEnd w:id="44"/>
    <w:bookmarkEnd w:id="45"/>
    <w:bookmarkEnd w:id="46"/>
    <w:bookmarkEnd w:id="47"/>
    <w:bookmarkStart w:id="72" w:name="fs-idp45100816"/>
    <w:bookmarkStart w:id="71" w:name="the-third-law-of-thermodynamics"/>
    <w:p>
      <w:pPr>
        <w:pStyle w:val="Heading3"/>
      </w:pPr>
      <w:r>
        <w:t xml:space="preserve">The Third Law of Thermodynamics</w:t>
      </w:r>
    </w:p>
    <w:p>
      <w:pPr>
        <w:pStyle w:val="FirstParagraph"/>
      </w:pPr>
      <w:r>
        <w:t xml:space="preserve">The previous section described the various contributions of matter and energy dispersal that contribute to the entropy of a system. With these contributions in mind, consider the entropy of a pure, perfectly crystalline solid possessing no kinetic energy (that is, at a temperature of absolute zero, 0 K). This system may be described by a single microstate, as its purity, perfect crystallinity and complete lack of motion means there is but one possible location for each identical atom or molecule comprising the crystal (</w:t>
      </w:r>
      <w:r>
        <w:rPr>
          <w:iCs/>
          <w:i/>
        </w:rPr>
        <w:t xml:space="preserve">W</w:t>
      </w:r>
      <w:r>
        <w:t xml:space="preserve"> </w:t>
      </w:r>
      <w:r>
        <w:t xml:space="preserve">= 1). According to the Boltzmann equation, the entropy of this system is zero.</w:t>
      </w:r>
    </w:p>
    <w:bookmarkStart w:id="48" w:name="fs-idp179521936"/>
    <w:p>
      <w:pPr>
        <w:pStyle w:val="TextBody"/>
      </w:pPr>
      <m:oMath>
        <m:r>
          <m:t>S</m:t>
        </m:r>
        <m:r>
          <m:rPr>
            <m:sty m:val="p"/>
          </m:rPr>
          <m:t>=</m:t>
        </m:r>
        <m:r>
          <m:t>k</m:t>
        </m:r>
        <m:r>
          <m:t> </m:t>
        </m:r>
        <m:r>
          <m:rPr>
            <m:nor/>
            <m:sty m:val="p"/>
          </m:rPr>
          <m:t>ln</m:t>
        </m:r>
        <m:r>
          <m:t> </m:t>
        </m:r>
        <m:r>
          <m:t>W</m:t>
        </m:r>
        <m:r>
          <m:rPr>
            <m:sty m:val="p"/>
          </m:rPr>
          <m:t>=</m:t>
        </m:r>
        <m:r>
          <m:t>k</m:t>
        </m:r>
        <m:r>
          <m:t> </m:t>
        </m:r>
        <m:r>
          <m:rPr>
            <m:nor/>
            <m:sty m:val="p"/>
          </m:rPr>
          <m:t>ln</m:t>
        </m:r>
        <m:r>
          <m:t> </m:t>
        </m:r>
        <m:d>
          <m:dPr>
            <m:begChr m:val="("/>
            <m:endChr m:val=")"/>
            <m:sepChr m:val=""/>
            <m:grow/>
          </m:dPr>
          <m:e>
            <m:r>
              <m:t>1</m:t>
            </m:r>
          </m:e>
        </m:d>
        <m:r>
          <m:rPr>
            <m:sty m:val="p"/>
          </m:rPr>
          <m:t>=</m:t>
        </m:r>
        <m:r>
          <m:t>0</m:t>
        </m:r>
      </m:oMath>
    </w:p>
    <w:bookmarkEnd w:id="48"/>
    <w:p>
      <w:pPr>
        <w:pStyle w:val="TextBody"/>
      </w:pPr>
    </w:p>
    <w:p>
      <w:pPr>
        <w:pStyle w:val="TextBody"/>
      </w:pPr>
      <w:r>
        <w:t xml:space="preserve">This limiting condition for a system’s entropy represents the</w:t>
      </w:r>
      <w:r>
        <w:t xml:space="preserve"> </w:t>
      </w:r>
      <w:bookmarkStart w:id="49" w:name="term-00002"/>
      <w:r>
        <w:t xml:space="preserve">third law of thermodynamics</w:t>
      </w:r>
      <w:bookmarkEnd w:id="49"/>
      <w:r>
        <w:t xml:space="preserve">:</w:t>
      </w:r>
      <w:r>
        <w:t xml:space="preserve"> </w:t>
      </w:r>
      <w:r>
        <w:rPr>
          <w:iCs/>
          <w:i/>
        </w:rPr>
        <w:t xml:space="preserve">the entropy of a pure, perfect crystalline substance at 0 K is zero.</w:t>
      </w:r>
    </w:p>
    <w:p>
      <w:pPr>
        <w:pStyle w:val="TextBody"/>
      </w:pPr>
      <w:r>
        <w:t xml:space="preserve">Careful calorimetric measurements can be made to determine the temperature dependence of a substance’s entropy and to derive absolute entropy values under specific conditions.</w:t>
      </w:r>
      <w:r>
        <w:t xml:space="preserve"> </w:t>
      </w:r>
      <w:bookmarkStart w:id="50" w:name="term-00003"/>
      <w:r>
        <w:t xml:space="preserve">Standard entropies (</w:t>
      </w:r>
      <w:r>
        <w:rPr>
          <w:iCs/>
          <w:i/>
        </w:rPr>
        <w:t xml:space="preserve">S</w:t>
      </w:r>
      <w:r>
        <w:t xml:space="preserve">°)</w:t>
      </w:r>
      <w:bookmarkEnd w:id="50"/>
      <w:r>
        <w:t xml:space="preserve"> </w:t>
      </w:r>
      <w:r>
        <w:t xml:space="preserve">are for one mole of substance under standard conditions (a pressure of 1 bar and a temperature of 298.15 K; see details regarding standard conditions in the thermochemistry chapter of this text). The</w:t>
      </w:r>
      <w:r>
        <w:t xml:space="preserve"> </w:t>
      </w:r>
      <w:bookmarkStart w:id="51" w:name="term-00004"/>
      <w:r>
        <w:t xml:space="preserve">standard entropy change (Δ</w:t>
      </w:r>
      <w:r>
        <w:rPr>
          <w:iCs/>
          <w:i/>
        </w:rPr>
        <w:t xml:space="preserve">S</w:t>
      </w:r>
      <w:r>
        <w:t xml:space="preserve">°)</w:t>
      </w:r>
      <w:bookmarkEnd w:id="51"/>
      <w:r>
        <w:t xml:space="preserve"> </w:t>
      </w:r>
      <w:r>
        <w:t xml:space="preserve">for a reaction may be computed using standard entropies as shown below:</w:t>
      </w:r>
    </w:p>
    <w:bookmarkStart w:id="52" w:name="fs-idp35409536"/>
    <w:p>
      <w:pPr>
        <w:pStyle w:val="TextBody"/>
      </w:pPr>
      <m:oMath>
        <m:r>
          <m:rPr>
            <m:nor/>
            <m:sty m:val="p"/>
          </m:rPr>
          <m:t>Δ</m:t>
        </m:r>
        <m:r>
          <m:t>S</m:t>
        </m:r>
        <m:r>
          <m:rPr>
            <m:nor/>
            <m:sty m:val="p"/>
          </m:rPr>
          <m:t>°</m:t>
        </m:r>
        <m:r>
          <m:rPr>
            <m:sty m:val="p"/>
          </m:rPr>
          <m:t>=</m:t>
        </m:r>
        <m:r>
          <m:rPr>
            <m:sty m:val="p"/>
          </m:rPr>
          <m:t>∑</m:t>
        </m:r>
        <m:r>
          <m:t>ν</m:t>
        </m:r>
        <m:r>
          <m:t>S</m:t>
        </m:r>
        <m:r>
          <m:rPr>
            <m:nor/>
            <m:sty m:val="p"/>
          </m:rPr>
          <m:t>°</m:t>
        </m:r>
        <m:r>
          <m:rPr>
            <m:nor/>
            <m:sty m:val="p"/>
          </m:rPr>
          <m:t>(products)</m:t>
        </m:r>
        <m:r>
          <m:t> </m:t>
        </m:r>
        <m:r>
          <m:rPr>
            <m:sty m:val="p"/>
          </m:rPr>
          <m:t>−</m:t>
        </m:r>
        <m:r>
          <m:rPr>
            <m:sty m:val="p"/>
          </m:rPr>
          <m:t>∑</m:t>
        </m:r>
        <m:r>
          <m:t>ν</m:t>
        </m:r>
        <m:r>
          <m:t>S</m:t>
        </m:r>
        <m:r>
          <m:rPr>
            <m:nor/>
            <m:sty m:val="p"/>
          </m:rPr>
          <m:t>°</m:t>
        </m:r>
        <m:r>
          <m:rPr>
            <m:nor/>
            <m:sty m:val="p"/>
          </m:rPr>
          <m:t>(reactants)</m:t>
        </m:r>
      </m:oMath>
    </w:p>
    <w:bookmarkEnd w:id="52"/>
    <w:p>
      <w:pPr>
        <w:pStyle w:val="TextBody"/>
      </w:pPr>
      <w:r>
        <w:t xml:space="preserve">where ν represents stoichiometric coefficients in the balanced equation representing the process. For example, Δ</w:t>
      </w:r>
      <w:r>
        <w:rPr>
          <w:iCs/>
          <w:i/>
        </w:rPr>
        <w:t xml:space="preserve">S</w:t>
      </w:r>
      <w:r>
        <w:t xml:space="preserve">° for the following reaction at room temperature</w:t>
      </w:r>
    </w:p>
    <w:bookmarkStart w:id="53" w:name="fs-idm48571920"/>
    <w:p>
      <w:pPr>
        <w:pStyle w:val="TextBody"/>
      </w:pPr>
      <m:oMath>
        <m:r>
          <m:t>m</m:t>
        </m:r>
        <m:r>
          <m:rPr>
            <m:nor/>
            <m:sty m:val="p"/>
          </m:rPr>
          <m:t>A</m:t>
        </m:r>
        <m:r>
          <m:rPr>
            <m:sty m:val="p"/>
          </m:rPr>
          <m:t>+</m:t>
        </m:r>
        <m:r>
          <m:t>n</m:t>
        </m:r>
        <m:r>
          <m:rPr>
            <m:nor/>
            <m:sty m:val="p"/>
          </m:rPr>
          <m:t>B</m:t>
        </m:r>
        <m:r>
          <m:t> </m:t>
        </m:r>
        <m:r>
          <m:rPr>
            <m:sty m:val="p"/>
          </m:rPr>
          <m:t>→</m:t>
        </m:r>
        <m:r>
          <m:t> </m:t>
        </m:r>
        <m:r>
          <m:t>x</m:t>
        </m:r>
        <m:r>
          <m:rPr>
            <m:nor/>
            <m:sty m:val="p"/>
          </m:rPr>
          <m:t>C</m:t>
        </m:r>
        <m:r>
          <m:rPr>
            <m:sty m:val="p"/>
          </m:rPr>
          <m:t>+</m:t>
        </m:r>
        <m:r>
          <m:t>y</m:t>
        </m:r>
        <m:r>
          <m:rPr>
            <m:nor/>
            <m:sty m:val="p"/>
          </m:rPr>
          <m:t>D,</m:t>
        </m:r>
      </m:oMath>
    </w:p>
    <w:bookmarkEnd w:id="53"/>
    <w:p>
      <w:pPr>
        <w:pStyle w:val="TextBody"/>
      </w:pPr>
      <w:r>
        <w:t xml:space="preserve">is computed as:</w:t>
      </w:r>
    </w:p>
    <w:bookmarkStart w:id="54" w:name="fs-idp34261696"/>
    <w:p>
      <w:pPr>
        <w:pStyle w:val="TextBody"/>
      </w:pPr>
      <m:oMath>
        <m:r>
          <m:rPr>
            <m:sty m:val="p"/>
          </m:rPr>
          <m:t>=</m:t>
        </m:r>
        <m:d>
          <m:dPr>
            <m:begChr m:val="["/>
            <m:endChr m:val="]"/>
            <m:sepChr m:val=""/>
            <m:grow/>
          </m:dPr>
          <m:e>
            <m:r>
              <m:t>x</m:t>
            </m:r>
            <m:r>
              <m:t>S</m:t>
            </m:r>
            <m:sSup>
              <m:e>
                <m:r>
                  <m:t>​</m:t>
                </m:r>
              </m:e>
              <m:sup>
                <m:r>
                  <m:rPr>
                    <m:sty m:val="p"/>
                  </m:rPr>
                  <m:t>∘</m:t>
                </m:r>
              </m:sup>
            </m:sSup>
            <m:d>
              <m:dPr>
                <m:begChr m:val="("/>
                <m:endChr m:val=")"/>
                <m:sepChr m:val=""/>
                <m:grow/>
              </m:dPr>
              <m:e>
                <m:r>
                  <m:rPr>
                    <m:nor/>
                    <m:sty m:val="p"/>
                  </m:rPr>
                  <m:t>C</m:t>
                </m:r>
              </m:e>
            </m:d>
            <m:r>
              <m:rPr>
                <m:sty m:val="p"/>
              </m:rPr>
              <m:t>+</m:t>
            </m:r>
            <m:r>
              <m:t>y</m:t>
            </m:r>
            <m:r>
              <m:t>S</m:t>
            </m:r>
            <m:r>
              <m:rPr>
                <m:nor/>
                <m:sty m:val="p"/>
              </m:rPr>
              <m:t>°</m:t>
            </m:r>
            <m:d>
              <m:dPr>
                <m:begChr m:val="("/>
                <m:endChr m:val=")"/>
                <m:sepChr m:val=""/>
                <m:grow/>
              </m:dPr>
              <m:e>
                <m:r>
                  <m:rPr>
                    <m:nor/>
                    <m:sty m:val="p"/>
                  </m:rPr>
                  <m:t>D</m:t>
                </m:r>
              </m:e>
            </m:d>
          </m:e>
        </m:d>
        <m:r>
          <m:t> </m:t>
        </m:r>
        <m:r>
          <m:rPr>
            <m:sty m:val="p"/>
          </m:rPr>
          <m:t>−</m:t>
        </m:r>
        <m:r>
          <m:t> </m:t>
        </m:r>
        <m:d>
          <m:dPr>
            <m:begChr m:val="["/>
            <m:endChr m:val="]"/>
            <m:sepChr m:val=""/>
            <m:grow/>
          </m:dPr>
          <m:e>
            <m:r>
              <m:t>m</m:t>
            </m:r>
            <m:r>
              <m:t>S</m:t>
            </m:r>
            <m:r>
              <m:rPr>
                <m:nor/>
                <m:sty m:val="p"/>
              </m:rPr>
              <m:t>°</m:t>
            </m:r>
            <m:d>
              <m:dPr>
                <m:begChr m:val="("/>
                <m:endChr m:val=")"/>
                <m:sepChr m:val=""/>
                <m:grow/>
              </m:dPr>
              <m:e>
                <m:r>
                  <m:rPr>
                    <m:nor/>
                    <m:sty m:val="p"/>
                  </m:rPr>
                  <m:t>A</m:t>
                </m:r>
              </m:e>
            </m:d>
            <m:r>
              <m:rPr>
                <m:sty m:val="p"/>
              </m:rPr>
              <m:t>+</m:t>
            </m:r>
            <m:r>
              <m:t>n</m:t>
            </m:r>
            <m:r>
              <m:t>S</m:t>
            </m:r>
            <m:r>
              <m:rPr>
                <m:nor/>
                <m:sty m:val="p"/>
              </m:rPr>
              <m:t>°</m:t>
            </m:r>
            <m:d>
              <m:dPr>
                <m:begChr m:val="("/>
                <m:endChr m:val=")"/>
                <m:sepChr m:val=""/>
                <m:grow/>
              </m:dPr>
              <m:e>
                <m:r>
                  <m:rPr>
                    <m:nor/>
                    <m:sty m:val="p"/>
                  </m:rPr>
                  <m:t>B</m:t>
                </m:r>
              </m:e>
            </m:d>
          </m:e>
        </m:d>
      </m:oMath>
    </w:p>
    <w:bookmarkEnd w:id="54"/>
    <w:p>
      <w:pPr>
        <w:pStyle w:val="TextBody"/>
      </w:pPr>
      <w:r>
        <w:t xml:space="preserve">A partial listing of standard entropies is provided in</w:t>
      </w:r>
      <w:r>
        <w:t xml:space="preserve"> </w:t>
      </w:r>
      <w:hyperlink w:anchor="fs-idm78597984">
        <w:r>
          <w:rPr>
            <w:rStyle w:val="InternetLink"/>
          </w:rPr>
          <w:t xml:space="preserve">Table 16.2</w:t>
        </w:r>
      </w:hyperlink>
      <w:r>
        <w:t xml:space="preserve">, and additional values are provided in</w:t>
      </w:r>
      <w:r>
        <w:t xml:space="preserve"> </w:t>
      </w:r>
      <w:hyperlink r:id="rId55">
        <w:r>
          <w:rPr>
            <w:rStyle w:val="InternetLink"/>
          </w:rPr>
          <w:t xml:space="preserve">Appendix G</w:t>
        </w:r>
      </w:hyperlink>
      <w:r>
        <w:t xml:space="preserve">. The example exercises that follow demonstrate the use of</w:t>
      </w:r>
      <w:r>
        <w:t xml:space="preserve"> </w:t>
      </w:r>
      <w:r>
        <w:rPr>
          <w:iCs/>
          <w:i/>
        </w:rPr>
        <w:t xml:space="preserve">S</w:t>
      </w:r>
      <w:r>
        <w:t xml:space="preserve">° values in calculating standard entropy changes for physical and chemical processes.</w:t>
      </w:r>
    </w:p>
    <w:bookmarkStart w:id="56" w:name="fs-idm78597984"/>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Substance</w:t>
            </w:r>
          </w:p>
        </w:tc>
        <w:tc>
          <w:tcPr/>
          <w:p>
            <w:pPr>
              <w:pStyle w:val="Compact"/>
              <w:jc w:val="left"/>
            </w:pPr>
            <m:oMath>
              <m:r>
                <m:t>S</m:t>
              </m:r>
              <m:r>
                <m:rPr>
                  <m:nor/>
                  <m:sty m:val="p"/>
                </m:rPr>
                <m:t>°</m:t>
              </m:r>
            </m:oMath>
            <w:r>
              <w:rPr>
                <w:bCs/>
                <w:b/>
              </w:rPr>
              <w:t xml:space="preserve"> </w:t>
            </w:r>
            <w:r>
              <w:rPr>
                <w:bCs/>
                <w:b/>
              </w:rPr>
              <w:t xml:space="preserve">(J mol</w:t>
            </w:r>
            <w:r>
              <w:rPr>
                <w:vertAlign w:val="superscript"/>
                <w:bCs/>
                <w:b/>
              </w:rPr>
              <w:t xml:space="preserve">−1</w:t>
            </w:r>
            <w:r>
              <w:rPr>
                <w:bCs/>
                <w:b/>
              </w:rPr>
              <w:t xml:space="preserve"> </w:t>
            </w:r>
            <w:r>
              <w:rPr>
                <w:bCs/>
                <w:b/>
              </w:rPr>
              <w:t xml:space="preserve">K</w:t>
            </w:r>
            <w:r>
              <w:rPr>
                <w:vertAlign w:val="superscript"/>
                <w:bCs/>
                <w:b/>
              </w:rPr>
              <w:t xml:space="preserve">−1</w:t>
            </w:r>
            <w:r>
              <w:rPr>
                <w:bCs/>
                <w:b/>
              </w:rPr>
              <w:t xml:space="preserve">)</w:t>
            </w:r>
          </w:p>
        </w:tc>
      </w:tr>
      <w:tr>
        <w:tc>
          <w:tcPr>
            <w:gridSpan w:val="2"/>
          </w:tcPr>
          <w:p>
            <w:pPr>
              <w:pStyle w:val="Compact"/>
              <w:jc w:val="left"/>
            </w:pPr>
            <w:r>
              <w:t xml:space="preserve">carbon</w:t>
            </w:r>
          </w:p>
        </w:tc>
      </w:tr>
      <w:tr>
        <w:tc>
          <w:tcPr/>
          <w:p>
            <w:pPr>
              <w:pStyle w:val="Compact"/>
              <w:jc w:val="left"/>
            </w:pPr>
            <w:r>
              <w:t xml:space="preserve">C(</w:t>
            </w:r>
            <w:r>
              <w:rPr>
                <w:iCs/>
                <w:i/>
              </w:rPr>
              <w:t xml:space="preserve">s</w:t>
            </w:r>
            <w:r>
              <w:t xml:space="preserve">, graphite)</w:t>
            </w:r>
          </w:p>
        </w:tc>
        <w:tc>
          <w:tcPr/>
          <w:p>
            <w:pPr>
              <w:pStyle w:val="Compact"/>
              <w:jc w:val="left"/>
            </w:pPr>
            <w:r>
              <w:t xml:space="preserve">5.740</w:t>
            </w:r>
          </w:p>
        </w:tc>
      </w:tr>
      <w:tr>
        <w:tc>
          <w:tcPr/>
          <w:p>
            <w:pPr>
              <w:pStyle w:val="Compact"/>
              <w:jc w:val="left"/>
            </w:pPr>
            <w:r>
              <w:t xml:space="preserve">C(</w:t>
            </w:r>
            <w:r>
              <w:rPr>
                <w:iCs/>
                <w:i/>
              </w:rPr>
              <w:t xml:space="preserve">s</w:t>
            </w:r>
            <w:r>
              <w:t xml:space="preserve">, diamond)</w:t>
            </w:r>
          </w:p>
        </w:tc>
        <w:tc>
          <w:tcPr/>
          <w:p>
            <w:pPr>
              <w:pStyle w:val="Compact"/>
              <w:jc w:val="left"/>
            </w:pPr>
            <w:r>
              <w:t xml:space="preserve">2.38</w:t>
            </w:r>
          </w:p>
        </w:tc>
      </w:tr>
      <w:tr>
        <w:tc>
          <w:tcPr/>
          <w:p>
            <w:pPr>
              <w:pStyle w:val="Compact"/>
              <w:jc w:val="left"/>
            </w:pPr>
            <w:r>
              <w:t xml:space="preserve">CO(</w:t>
            </w:r>
            <w:r>
              <w:rPr>
                <w:iCs/>
                <w:i/>
              </w:rPr>
              <w:t xml:space="preserve">g</w:t>
            </w:r>
            <w:r>
              <w:t xml:space="preserve">)</w:t>
            </w:r>
          </w:p>
        </w:tc>
        <w:tc>
          <w:tcPr/>
          <w:p>
            <w:pPr>
              <w:pStyle w:val="Compact"/>
              <w:jc w:val="left"/>
            </w:pPr>
            <w:r>
              <w:t xml:space="preserve">197.7</w:t>
            </w:r>
          </w:p>
        </w:tc>
      </w:tr>
      <w:tr>
        <w:tc>
          <w:tcPr/>
          <w:p>
            <w:pPr>
              <w:pStyle w:val="Compact"/>
              <w:jc w:val="left"/>
            </w:pPr>
            <w:r>
              <w:t xml:space="preserve">CO</w:t>
            </w:r>
            <w:r>
              <w:rPr>
                <w:vertAlign w:val="subscript"/>
              </w:rPr>
              <w:t xml:space="preserve">2</w:t>
            </w:r>
            <w:r>
              <w:t xml:space="preserve">(</w:t>
            </w:r>
            <w:r>
              <w:rPr>
                <w:iCs/>
                <w:i/>
              </w:rPr>
              <w:t xml:space="preserve">g</w:t>
            </w:r>
            <w:r>
              <w:t xml:space="preserve">)</w:t>
            </w:r>
          </w:p>
        </w:tc>
        <w:tc>
          <w:tcPr/>
          <w:p>
            <w:pPr>
              <w:pStyle w:val="Compact"/>
              <w:jc w:val="left"/>
            </w:pPr>
            <w:r>
              <w:t xml:space="preserve">213.8</w:t>
            </w:r>
          </w:p>
        </w:tc>
      </w:tr>
      <w:tr>
        <w:tc>
          <w:tcPr/>
          <w:p>
            <w:pPr>
              <w:pStyle w:val="Compact"/>
              <w:jc w:val="left"/>
            </w:pPr>
            <w:r>
              <w:t xml:space="preserve">CH</w:t>
            </w:r>
            <w:r>
              <w:rPr>
                <w:vertAlign w:val="subscript"/>
              </w:rPr>
              <w:t xml:space="preserve">4</w:t>
            </w:r>
            <w:r>
              <w:t xml:space="preserve">(</w:t>
            </w:r>
            <w:r>
              <w:rPr>
                <w:iCs/>
                <w:i/>
              </w:rPr>
              <w:t xml:space="preserve">g</w:t>
            </w:r>
            <w:r>
              <w:t xml:space="preserve">)</w:t>
            </w:r>
          </w:p>
        </w:tc>
        <w:tc>
          <w:tcPr/>
          <w:p>
            <w:pPr>
              <w:pStyle w:val="Compact"/>
              <w:jc w:val="left"/>
            </w:pPr>
            <w:r>
              <w:t xml:space="preserve">186.3</w:t>
            </w:r>
          </w:p>
        </w:tc>
      </w:tr>
      <w:tr>
        <w:tc>
          <w:tcPr/>
          <w:p>
            <w:pPr>
              <w:pStyle w:val="Compact"/>
              <w:jc w:val="left"/>
            </w:pPr>
            <w:r>
              <w:t xml:space="preserve">C</w:t>
            </w:r>
            <w:r>
              <w:rPr>
                <w:vertAlign w:val="subscript"/>
              </w:rPr>
              <w:t xml:space="preserve">2</w:t>
            </w:r>
            <w:r>
              <w:t xml:space="preserve">H</w:t>
            </w:r>
            <w:r>
              <w:rPr>
                <w:vertAlign w:val="subscript"/>
              </w:rPr>
              <w:t xml:space="preserve">4</w:t>
            </w:r>
            <w:r>
              <w:t xml:space="preserve">(</w:t>
            </w:r>
            <w:r>
              <w:rPr>
                <w:iCs/>
                <w:i/>
              </w:rPr>
              <w:t xml:space="preserve">g</w:t>
            </w:r>
            <w:r>
              <w:t xml:space="preserve">)</w:t>
            </w:r>
          </w:p>
        </w:tc>
        <w:tc>
          <w:tcPr/>
          <w:p>
            <w:pPr>
              <w:pStyle w:val="Compact"/>
              <w:jc w:val="left"/>
            </w:pPr>
            <w:r>
              <w:t xml:space="preserve">219.3</w:t>
            </w:r>
          </w:p>
        </w:tc>
      </w:tr>
      <w:tr>
        <w:tc>
          <w:tcPr/>
          <w:p>
            <w:pPr>
              <w:pStyle w:val="Compact"/>
              <w:jc w:val="left"/>
            </w:pPr>
            <w:r>
              <w:t xml:space="preserve">C</w:t>
            </w:r>
            <w:r>
              <w:rPr>
                <w:vertAlign w:val="subscript"/>
              </w:rPr>
              <w:t xml:space="preserve">2</w:t>
            </w:r>
            <w:r>
              <w:t xml:space="preserve">H</w:t>
            </w:r>
            <w:r>
              <w:rPr>
                <w:vertAlign w:val="subscript"/>
              </w:rPr>
              <w:t xml:space="preserve">6</w:t>
            </w:r>
            <w:r>
              <w:t xml:space="preserve">(</w:t>
            </w:r>
            <w:r>
              <w:rPr>
                <w:iCs/>
                <w:i/>
              </w:rPr>
              <w:t xml:space="preserve">g</w:t>
            </w:r>
            <w:r>
              <w:t xml:space="preserve">)</w:t>
            </w:r>
          </w:p>
        </w:tc>
        <w:tc>
          <w:tcPr/>
          <w:p>
            <w:pPr>
              <w:pStyle w:val="Compact"/>
              <w:jc w:val="left"/>
            </w:pPr>
            <w:r>
              <w:t xml:space="preserve">229.2</w:t>
            </w:r>
          </w:p>
        </w:tc>
      </w:tr>
      <w:tr>
        <w:tc>
          <w:tcPr/>
          <w:p>
            <w:pPr>
              <w:pStyle w:val="Compact"/>
              <w:jc w:val="left"/>
            </w:pPr>
            <w:r>
              <w:t xml:space="preserve">CH</w:t>
            </w:r>
            <w:r>
              <w:rPr>
                <w:vertAlign w:val="subscript"/>
              </w:rPr>
              <w:t xml:space="preserve">3</w:t>
            </w:r>
            <w:r>
              <w:t xml:space="preserve">OH(</w:t>
            </w:r>
            <w:r>
              <w:rPr>
                <w:iCs/>
                <w:i/>
              </w:rPr>
              <w:t xml:space="preserve">l</w:t>
            </w:r>
            <w:r>
              <w:t xml:space="preserve">)</w:t>
            </w:r>
          </w:p>
        </w:tc>
        <w:tc>
          <w:tcPr/>
          <w:p>
            <w:pPr>
              <w:pStyle w:val="Compact"/>
              <w:jc w:val="left"/>
            </w:pPr>
            <w:r>
              <w:t xml:space="preserve">126.8</w:t>
            </w:r>
          </w:p>
        </w:tc>
      </w:tr>
      <w:tr>
        <w:tc>
          <w:tcPr/>
          <w:p>
            <w:pPr>
              <w:pStyle w:val="Compact"/>
              <w:jc w:val="left"/>
            </w:pPr>
            <w:r>
              <w:t xml:space="preserve">C</w:t>
            </w:r>
            <w:r>
              <w:rPr>
                <w:vertAlign w:val="subscript"/>
              </w:rPr>
              <w:t xml:space="preserve">2</w:t>
            </w:r>
            <w:r>
              <w:t xml:space="preserve">H</w:t>
            </w:r>
            <w:r>
              <w:rPr>
                <w:vertAlign w:val="subscript"/>
              </w:rPr>
              <w:t xml:space="preserve">5</w:t>
            </w:r>
            <w:r>
              <w:t xml:space="preserve">OH(</w:t>
            </w:r>
            <w:r>
              <w:rPr>
                <w:iCs/>
                <w:i/>
              </w:rPr>
              <w:t xml:space="preserve">l</w:t>
            </w:r>
            <w:r>
              <w:t xml:space="preserve">)</w:t>
            </w:r>
          </w:p>
        </w:tc>
        <w:tc>
          <w:tcPr/>
          <w:p>
            <w:pPr>
              <w:pStyle w:val="Compact"/>
              <w:jc w:val="left"/>
            </w:pPr>
            <w:r>
              <w:t xml:space="preserve">160.7</w:t>
            </w:r>
          </w:p>
        </w:tc>
      </w:tr>
      <w:tr>
        <w:tc>
          <w:tcPr>
            <w:gridSpan w:val="2"/>
          </w:tcPr>
          <w:p>
            <w:pPr>
              <w:pStyle w:val="Compact"/>
              <w:jc w:val="left"/>
            </w:pPr>
            <w:r>
              <w:t xml:space="preserve">hydrogen</w:t>
            </w:r>
          </w:p>
        </w:tc>
      </w:tr>
      <w:tr>
        <w:tc>
          <w:tcPr/>
          <w:p>
            <w:pPr>
              <w:pStyle w:val="Compact"/>
              <w:jc w:val="left"/>
            </w:pPr>
            <w:r>
              <w:t xml:space="preserve">H</w:t>
            </w:r>
            <w:r>
              <w:rPr>
                <w:vertAlign w:val="subscript"/>
              </w:rPr>
              <w:t xml:space="preserve">2</w:t>
            </w:r>
            <w:r>
              <w:t xml:space="preserve">(</w:t>
            </w:r>
            <w:r>
              <w:rPr>
                <w:iCs/>
                <w:i/>
              </w:rPr>
              <w:t xml:space="preserve">g</w:t>
            </w:r>
            <w:r>
              <w:t xml:space="preserve">)</w:t>
            </w:r>
          </w:p>
        </w:tc>
        <w:tc>
          <w:tcPr/>
          <w:p>
            <w:pPr>
              <w:pStyle w:val="Compact"/>
              <w:jc w:val="left"/>
            </w:pPr>
            <w:r>
              <w:t xml:space="preserve">130.7</w:t>
            </w:r>
          </w:p>
        </w:tc>
      </w:tr>
      <w:tr>
        <w:tc>
          <w:tcPr/>
          <w:p>
            <w:pPr>
              <w:pStyle w:val="Compact"/>
              <w:jc w:val="left"/>
            </w:pPr>
            <w:r>
              <w:t xml:space="preserve">H(</w:t>
            </w:r>
            <w:r>
              <w:rPr>
                <w:iCs/>
                <w:i/>
              </w:rPr>
              <w:t xml:space="preserve">g</w:t>
            </w:r>
            <w:r>
              <w:t xml:space="preserve">)</w:t>
            </w:r>
          </w:p>
        </w:tc>
        <w:tc>
          <w:tcPr/>
          <w:p>
            <w:pPr>
              <w:pStyle w:val="Compact"/>
              <w:jc w:val="left"/>
            </w:pPr>
            <w:r>
              <w:t xml:space="preserve">114.7</w:t>
            </w:r>
          </w:p>
        </w:tc>
      </w:tr>
      <w:tr>
        <w:tc>
          <w:tcPr/>
          <w:p>
            <w:pPr>
              <w:pStyle w:val="Compact"/>
              <w:jc w:val="left"/>
            </w:pPr>
            <w:r>
              <w:t xml:space="preserve">H</w:t>
            </w:r>
            <w:r>
              <w:rPr>
                <w:vertAlign w:val="subscript"/>
              </w:rPr>
              <w:t xml:space="preserve">2</w:t>
            </w:r>
            <w:r>
              <w:t xml:space="preserve">O(</w:t>
            </w:r>
            <w:r>
              <w:rPr>
                <w:iCs/>
                <w:i/>
              </w:rPr>
              <w:t xml:space="preserve">g</w:t>
            </w:r>
            <w:r>
              <w:t xml:space="preserve">)</w:t>
            </w:r>
          </w:p>
        </w:tc>
        <w:tc>
          <w:tcPr/>
          <w:p>
            <w:pPr>
              <w:pStyle w:val="Compact"/>
              <w:jc w:val="left"/>
            </w:pPr>
            <w:r>
              <w:t xml:space="preserve">188.8</w:t>
            </w:r>
          </w:p>
        </w:tc>
      </w:tr>
      <w:tr>
        <w:tc>
          <w:tcPr/>
          <w:p>
            <w:pPr>
              <w:pStyle w:val="Compact"/>
              <w:jc w:val="left"/>
            </w:pPr>
            <w:r>
              <w:t xml:space="preserve">H</w:t>
            </w:r>
            <w:r>
              <w:rPr>
                <w:vertAlign w:val="subscript"/>
              </w:rPr>
              <w:t xml:space="preserve">2</w:t>
            </w:r>
            <w:r>
              <w:t xml:space="preserve">O(</w:t>
            </w:r>
            <w:r>
              <w:rPr>
                <w:iCs/>
                <w:i/>
              </w:rPr>
              <w:t xml:space="preserve">l</w:t>
            </w:r>
            <w:r>
              <w:t xml:space="preserve">)</w:t>
            </w:r>
          </w:p>
        </w:tc>
        <w:tc>
          <w:tcPr/>
          <w:p>
            <w:pPr>
              <w:pStyle w:val="Compact"/>
              <w:jc w:val="left"/>
            </w:pPr>
            <w:r>
              <w:t xml:space="preserve">70.0</w:t>
            </w:r>
          </w:p>
        </w:tc>
      </w:tr>
      <w:tr>
        <w:tc>
          <w:tcPr/>
          <w:p>
            <w:pPr>
              <w:pStyle w:val="Compact"/>
              <w:jc w:val="left"/>
            </w:pPr>
            <w:r>
              <w:t xml:space="preserve">HCI(</w:t>
            </w:r>
            <w:r>
              <w:rPr>
                <w:iCs/>
                <w:i/>
              </w:rPr>
              <w:t xml:space="preserve">g</w:t>
            </w:r>
            <w:r>
              <w:t xml:space="preserve">)</w:t>
            </w:r>
          </w:p>
        </w:tc>
        <w:tc>
          <w:tcPr/>
          <w:p>
            <w:pPr>
              <w:pStyle w:val="Compact"/>
              <w:jc w:val="left"/>
            </w:pPr>
            <w:r>
              <w:t xml:space="preserve">186.8</w:t>
            </w:r>
          </w:p>
        </w:tc>
      </w:tr>
      <w:tr>
        <w:tc>
          <w:tcPr/>
          <w:p>
            <w:pPr>
              <w:pStyle w:val="Compact"/>
              <w:jc w:val="left"/>
            </w:pPr>
            <w:r>
              <w:t xml:space="preserve">H</w:t>
            </w:r>
            <w:r>
              <w:rPr>
                <w:vertAlign w:val="subscript"/>
              </w:rPr>
              <w:t xml:space="preserve">2</w:t>
            </w:r>
            <w:r>
              <w:t xml:space="preserve">S(</w:t>
            </w:r>
            <w:r>
              <w:rPr>
                <w:iCs/>
                <w:i/>
              </w:rPr>
              <w:t xml:space="preserve">g</w:t>
            </w:r>
            <w:r>
              <w:t xml:space="preserve">)</w:t>
            </w:r>
          </w:p>
        </w:tc>
        <w:tc>
          <w:tcPr/>
          <w:p>
            <w:pPr>
              <w:pStyle w:val="Compact"/>
              <w:jc w:val="left"/>
            </w:pPr>
            <w:r>
              <w:t xml:space="preserve">205.7</w:t>
            </w:r>
          </w:p>
        </w:tc>
      </w:tr>
      <w:tr>
        <w:tc>
          <w:tcPr>
            <w:gridSpan w:val="2"/>
          </w:tcPr>
          <w:p>
            <w:pPr>
              <w:pStyle w:val="Compact"/>
              <w:jc w:val="left"/>
            </w:pPr>
            <w:r>
              <w:t xml:space="preserve">oxygen</w:t>
            </w:r>
          </w:p>
        </w:tc>
      </w:tr>
      <w:tr>
        <w:tc>
          <w:tcPr/>
          <w:p>
            <w:pPr>
              <w:pStyle w:val="Compact"/>
              <w:jc w:val="left"/>
            </w:pPr>
            <w:r>
              <w:t xml:space="preserve">O</w:t>
            </w:r>
            <w:r>
              <w:rPr>
                <w:vertAlign w:val="subscript"/>
              </w:rPr>
              <w:t xml:space="preserve">2</w:t>
            </w:r>
            <w:r>
              <w:t xml:space="preserve">(</w:t>
            </w:r>
            <w:r>
              <w:rPr>
                <w:iCs/>
                <w:i/>
              </w:rPr>
              <w:t xml:space="preserve">g</w:t>
            </w:r>
            <w:r>
              <w:t xml:space="preserve">)</w:t>
            </w:r>
          </w:p>
        </w:tc>
        <w:tc>
          <w:tcPr/>
          <w:p>
            <w:pPr>
              <w:pStyle w:val="Compact"/>
              <w:jc w:val="left"/>
            </w:pPr>
            <w:r>
              <w:t xml:space="preserve">205.2</w:t>
            </w:r>
          </w:p>
        </w:tc>
      </w:tr>
    </w:tbl>
    <w:bookmarkEnd w:id="56"/>
    <w:p>
      <w:pPr>
        <w:pStyle w:val="TextBody"/>
      </w:pPr>
      <w:r>
        <w:t xml:space="preserve">Table</w:t>
      </w:r>
      <w:r>
        <w:t xml:space="preserve"> </w:t>
      </w:r>
      <w:r>
        <w:t xml:space="preserve"> </w:t>
      </w:r>
      <w:r>
        <w:t xml:space="preserve">16.2</w:t>
      </w:r>
      <w:r>
        <w:t xml:space="preserve"> </w:t>
      </w:r>
      <w:r>
        <w:t xml:space="preserve"> </w:t>
      </w:r>
      <w:r>
        <w:t xml:space="preserve"> </w:t>
      </w:r>
      <w:r>
        <w:t xml:space="preserve"> </w:t>
      </w:r>
      <w:r>
        <w:t xml:space="preserve"> </w:t>
      </w:r>
      <w:r>
        <w:t xml:space="preserve">Standard entropies for selected substances measured at 1 atm and 298.15 K. (Values are approximately equal to those measured at 1 bar, the currently accepted standard state pressure.)</w:t>
      </w:r>
    </w:p>
    <w:bookmarkStart w:id="61" w:name="fs-idp173892208"/>
    <w:p>
      <w:pPr>
        <w:pStyle w:val="Heading3Grey"/>
      </w:pPr>
      <w:r>
        <w:t xml:space="preserve">Example</w:t>
      </w:r>
      <w:r>
        <w:t xml:space="preserve"> </w:t>
      </w:r>
      <w:r>
        <w:t xml:space="preserve"> </w:t>
      </w:r>
      <w:r>
        <w:t xml:space="preserve">16.5</w:t>
      </w:r>
      <w:r>
        <w:t xml:space="preserve"> </w:t>
      </w:r>
      <w:r>
        <w:t xml:space="preserve"> </w:t>
      </w:r>
    </w:p>
    <w:p>
      <w:pPr>
        <w:pStyle w:val="Heading4Grey"/>
      </w:pPr>
      <w:r>
        <w:t xml:space="preserve">Determination of Δ</w:t>
      </w:r>
      <w:r>
        <w:rPr>
          <w:iCs/>
          <w:i/>
        </w:rPr>
        <w:t xml:space="preserve">S</w:t>
      </w:r>
      <w:r>
        <w:t xml:space="preserve">°</w:t>
      </w:r>
    </w:p>
    <w:p>
      <w:pPr>
        <w:pStyle w:val="NoteExampleGrey"/>
      </w:pPr>
      <w:r>
        <w:t xml:space="preserve">Calculate the standard entropy change for the following process:</w:t>
      </w:r>
    </w:p>
    <w:bookmarkStart w:id="57" w:name="fs-idp582800"/>
    <w:p>
      <w:pPr>
        <w:pStyle w:val="NoteExampleGrey"/>
      </w:pPr>
      <m:oMath>
        <m:sSub>
          <m:e>
            <m:r>
              <m:rPr>
                <m:nor/>
                <m:sty m:val="p"/>
              </m:rPr>
              <m:t>H</m:t>
            </m:r>
          </m:e>
          <m:sub>
            <m:r>
              <m:t>2</m:t>
            </m:r>
          </m:sub>
        </m:sSub>
        <m:r>
          <m:rPr>
            <m:nor/>
            <m:sty m:val="p"/>
          </m:rPr>
          <m:t>O</m:t>
        </m:r>
        <m:d>
          <m:dPr>
            <m:begChr m:val="("/>
            <m:endChr m:val=")"/>
            <m:sepChr m:val=""/>
            <m:grow/>
          </m:dPr>
          <m:e>
            <m:r>
              <m:t>g</m:t>
            </m:r>
          </m:e>
        </m:d>
        <m:r>
          <m:t> </m:t>
        </m:r>
        <m:r>
          <m:rPr>
            <m:sty m:val="p"/>
          </m:rPr>
          <m:t>→</m:t>
        </m:r>
        <m:r>
          <m:t> </m:t>
        </m:r>
        <m:sSub>
          <m:e>
            <m:r>
              <m:rPr>
                <m:nor/>
                <m:sty m:val="p"/>
              </m:rPr>
              <m:t>H</m:t>
            </m:r>
          </m:e>
          <m:sub>
            <m:r>
              <m:t>2</m:t>
            </m:r>
          </m:sub>
        </m:sSub>
        <m:r>
          <m:rPr>
            <m:nor/>
            <m:sty m:val="p"/>
          </m:rPr>
          <m:t>O</m:t>
        </m:r>
        <m:d>
          <m:dPr>
            <m:begChr m:val="("/>
            <m:endChr m:val=")"/>
            <m:sepChr m:val=""/>
            <m:grow/>
          </m:dPr>
          <m:e>
            <m:r>
              <m:t>l</m:t>
            </m:r>
          </m:e>
        </m:d>
      </m:oMath>
    </w:p>
    <w:bookmarkEnd w:id="57"/>
    <w:p>
      <w:pPr>
        <w:pStyle w:val="Heading4Grey"/>
      </w:pPr>
      <w:r>
        <w:t xml:space="preserve">Solution</w:t>
      </w:r>
    </w:p>
    <w:p>
      <w:pPr>
        <w:pStyle w:val="NoteExampleGrey"/>
      </w:pPr>
      <w:r>
        <w:t xml:space="preserve">Calculate the entropy change using standard entropies as shown above:</w:t>
      </w:r>
    </w:p>
    <w:bookmarkStart w:id="58" w:name="fs-idm7244112"/>
    <w:p>
      <w:pPr>
        <w:pStyle w:val="NoteExampleGrey"/>
      </w:pPr>
      <m:oMath>
        <m:r>
          <m:t>Δ</m:t>
        </m:r>
        <m:r>
          <m:t>S</m:t>
        </m:r>
        <m:sSup>
          <m:e>
            <m:r>
              <m:t>​</m:t>
            </m:r>
          </m:e>
          <m:sup>
            <m:r>
              <m:rPr>
                <m:sty m:val="p"/>
              </m:rPr>
              <m:t>∘</m:t>
            </m:r>
          </m:sup>
        </m:sSup>
        <m:r>
          <m:rPr>
            <m:sty m:val="p"/>
          </m:rPr>
          <m:t>=</m:t>
        </m:r>
        <m:d>
          <m:dPr>
            <m:begChr m:val="("/>
            <m:endChr m:val=")"/>
            <m:sepChr m:val=""/>
            <m:grow/>
          </m:dPr>
          <m:e>
            <m:r>
              <m:t>1</m:t>
            </m:r>
            <m:r>
              <m:t> </m:t>
            </m:r>
            <m:r>
              <m:rPr>
                <m:nor/>
                <m:sty m:val="p"/>
              </m:rPr>
              <m:t>mol</m:t>
            </m:r>
          </m:e>
        </m:d>
        <m:d>
          <m:dPr>
            <m:begChr m:val="("/>
            <m:endChr m:val=")"/>
            <m:sepChr m:val=""/>
            <m:grow/>
          </m:dPr>
          <m:e>
            <m:r>
              <m:t>70.0</m:t>
            </m:r>
            <m:r>
              <m:t> </m:t>
            </m:r>
            <m:r>
              <m:rPr>
                <m:nor/>
                <m:sty m:val="p"/>
              </m:rPr>
              <m:t>J</m:t>
            </m:r>
            <m:r>
              <m:t> </m:t>
            </m:r>
            <m:sSup>
              <m:e>
                <m:r>
                  <m:rPr>
                    <m:nor/>
                    <m:sty m:val="p"/>
                  </m:rPr>
                  <m:t>mol</m:t>
                </m:r>
              </m:e>
              <m:sup>
                <m:r>
                  <m:rPr>
                    <m:nor/>
                    <m:sty m:val="p"/>
                  </m:rPr>
                  <m:t>−</m:t>
                </m:r>
                <m:r>
                  <m:t>1</m:t>
                </m:r>
              </m:sup>
            </m:sSup>
            <m:r>
              <m:t> </m:t>
            </m:r>
            <m:sSup>
              <m:e>
                <m:r>
                  <m:rPr>
                    <m:nor/>
                    <m:sty m:val="p"/>
                  </m:rPr>
                  <m:t>K</m:t>
                </m:r>
              </m:e>
              <m:sup>
                <m:r>
                  <m:rPr>
                    <m:nor/>
                    <m:sty m:val="p"/>
                  </m:rPr>
                  <m:t>−</m:t>
                </m:r>
                <m:r>
                  <m:t>1</m:t>
                </m:r>
              </m:sup>
            </m:sSup>
          </m:e>
        </m:d>
        <m:r>
          <m:rPr>
            <m:sty m:val="p"/>
          </m:rPr>
          <m:t>−</m:t>
        </m:r>
        <m:d>
          <m:dPr>
            <m:begChr m:val="("/>
            <m:endChr m:val=")"/>
            <m:sepChr m:val=""/>
            <m:grow/>
          </m:dPr>
          <m:e>
            <m:r>
              <m:t>1</m:t>
            </m:r>
            <m:r>
              <m:t> </m:t>
            </m:r>
            <m:r>
              <m:rPr>
                <m:nor/>
                <m:sty m:val="p"/>
              </m:rPr>
              <m:t>mol</m:t>
            </m:r>
          </m:e>
        </m:d>
        <m:d>
          <m:dPr>
            <m:begChr m:val="("/>
            <m:endChr m:val=")"/>
            <m:sepChr m:val=""/>
            <m:grow/>
          </m:dPr>
          <m:e>
            <m:r>
              <m:t>188.8</m:t>
            </m:r>
            <m:r>
              <m:t> </m:t>
            </m:r>
            <m:r>
              <m:rPr>
                <m:nor/>
                <m:sty m:val="p"/>
              </m:rPr>
              <m:t>J</m:t>
            </m:r>
            <m:r>
              <m:t> </m:t>
            </m:r>
            <m:sSup>
              <m:e>
                <m:r>
                  <m:rPr>
                    <m:nor/>
                    <m:sty m:val="p"/>
                  </m:rPr>
                  <m:t>mol</m:t>
                </m:r>
              </m:e>
              <m:sup>
                <m:r>
                  <m:rPr>
                    <m:nor/>
                    <m:sty m:val="p"/>
                  </m:rPr>
                  <m:t>−</m:t>
                </m:r>
                <m:r>
                  <m:t>1</m:t>
                </m:r>
              </m:sup>
            </m:sSup>
            <m:r>
              <m:t> </m:t>
            </m:r>
            <m:sSup>
              <m:e>
                <m:r>
                  <m:rPr>
                    <m:nor/>
                    <m:sty m:val="p"/>
                  </m:rPr>
                  <m:t>K</m:t>
                </m:r>
              </m:e>
              <m:sup>
                <m:r>
                  <m:rPr>
                    <m:nor/>
                    <m:sty m:val="p"/>
                  </m:rPr>
                  <m:t>−</m:t>
                </m:r>
                <m:r>
                  <m:t>1</m:t>
                </m:r>
              </m:sup>
            </m:sSup>
          </m:e>
        </m:d>
        <m:r>
          <m:rPr>
            <m:sty m:val="p"/>
          </m:rPr>
          <m:t>=</m:t>
        </m:r>
        <m:r>
          <m:rPr>
            <m:nor/>
            <m:sty m:val="p"/>
          </m:rPr>
          <m:t>−</m:t>
        </m:r>
        <m:r>
          <m:t>118.8</m:t>
        </m:r>
        <m:r>
          <m:t> </m:t>
        </m:r>
        <m:r>
          <m:rPr>
            <m:nor/>
            <m:sty m:val="p"/>
          </m:rPr>
          <m:t>J/K</m:t>
        </m:r>
      </m:oMath>
    </w:p>
    <w:bookmarkEnd w:id="58"/>
    <w:p>
      <w:pPr>
        <w:pStyle w:val="NoteExampleGrey"/>
      </w:pPr>
      <w:r>
        <w:t xml:space="preserve">The value for Δ</w:t>
      </w:r>
      <w:r>
        <w:rPr>
          <w:iCs/>
          <w:i/>
        </w:rPr>
        <w:t xml:space="preserve">S</w:t>
      </w:r>
      <w:r>
        <w:t xml:space="preserve">° is negative, as expected for this phase transition (condensation), which the previous section discussed.</w:t>
      </w:r>
    </w:p>
    <w:p>
      <w:pPr>
        <w:pStyle w:val="Heading4Grey"/>
      </w:pPr>
      <w:r>
        <w:t xml:space="preserve">Check Your Learning</w:t>
      </w:r>
    </w:p>
    <w:p>
      <w:pPr>
        <w:pStyle w:val="NoteExampleGrey"/>
      </w:pPr>
      <w:r>
        <w:t xml:space="preserve">Calculate the standard entropy change for the following process:</w:t>
      </w:r>
    </w:p>
    <w:bookmarkStart w:id="59" w:name="fs-idp43728512"/>
    <w:p>
      <w:pPr>
        <w:pStyle w:val="NoteExampleGrey"/>
      </w:pPr>
      <m:oMath>
        <m:sSub>
          <m:e>
            <m:r>
              <m:rPr>
                <m:nor/>
                <m:sty m:val="p"/>
              </m:rPr>
              <m:t>H</m:t>
            </m:r>
          </m:e>
          <m:sub>
            <m:r>
              <m:t>2</m:t>
            </m:r>
          </m:sub>
        </m:sSub>
        <m:d>
          <m:dPr>
            <m:begChr m:val="("/>
            <m:endChr m:val=")"/>
            <m:sepChr m:val=""/>
            <m:grow/>
          </m:dPr>
          <m:e>
            <m:r>
              <m:t>g</m:t>
            </m:r>
          </m:e>
        </m:d>
        <m:r>
          <m:rPr>
            <m:sty m:val="p"/>
          </m:rPr>
          <m:t>+</m:t>
        </m:r>
        <m:sSub>
          <m:e>
            <m:r>
              <m:rPr>
                <m:nor/>
                <m:sty m:val="p"/>
              </m:rPr>
              <m:t>C</m:t>
            </m:r>
          </m:e>
          <m:sub>
            <m:r>
              <m:t>2</m:t>
            </m:r>
          </m:sub>
        </m:sSub>
        <m:sSub>
          <m:e>
            <m:r>
              <m:rPr>
                <m:nor/>
                <m:sty m:val="p"/>
              </m:rPr>
              <m:t>H</m:t>
            </m:r>
          </m:e>
          <m:sub>
            <m:r>
              <m:t>4</m:t>
            </m:r>
          </m:sub>
        </m:sSub>
        <m:d>
          <m:dPr>
            <m:begChr m:val="("/>
            <m:endChr m:val=")"/>
            <m:sepChr m:val=""/>
            <m:grow/>
          </m:dPr>
          <m:e>
            <m:r>
              <m:t>g</m:t>
            </m:r>
          </m:e>
        </m:d>
        <m:r>
          <m:t> </m:t>
        </m:r>
        <m:r>
          <m:rPr>
            <m:sty m:val="p"/>
          </m:rPr>
          <m:t>→</m:t>
        </m:r>
        <m:r>
          <m:t> </m:t>
        </m:r>
        <m:sSub>
          <m:e>
            <m:r>
              <m:rPr>
                <m:nor/>
                <m:sty m:val="p"/>
              </m:rPr>
              <m:t>C</m:t>
            </m:r>
          </m:e>
          <m:sub>
            <m:r>
              <m:t>2</m:t>
            </m:r>
          </m:sub>
        </m:sSub>
        <m:sSub>
          <m:e>
            <m:r>
              <m:rPr>
                <m:nor/>
                <m:sty m:val="p"/>
              </m:rPr>
              <m:t>H</m:t>
            </m:r>
          </m:e>
          <m:sub>
            <m:r>
              <m:t>6</m:t>
            </m:r>
          </m:sub>
        </m:sSub>
        <m:d>
          <m:dPr>
            <m:begChr m:val="("/>
            <m:endChr m:val=")"/>
            <m:sepChr m:val=""/>
            <m:grow/>
          </m:dPr>
          <m:e>
            <m:r>
              <m:t>g</m:t>
            </m:r>
          </m:e>
        </m:d>
      </m:oMath>
    </w:p>
    <w:bookmarkEnd w:id="59"/>
    <w:bookmarkStart w:id="60" w:name="fs-idp34672944"/>
    <w:p>
      <w:pPr>
        <w:pStyle w:val="Heading3Grey"/>
      </w:pPr>
      <w:r>
        <w:t xml:space="preserve">Answer:</w:t>
      </w:r>
    </w:p>
    <w:p>
      <w:pPr>
        <w:pStyle w:val="NoteExampleGrey"/>
      </w:pPr>
      <w:r>
        <w:t xml:space="preserve">−120.6 J K</w:t>
      </w:r>
      <w:r>
        <w:rPr>
          <w:vertAlign w:val="superscript"/>
        </w:rPr>
        <w:t xml:space="preserve">–1</w:t>
      </w:r>
      <w:r>
        <w:t xml:space="preserve"> </w:t>
      </w:r>
      <w:r>
        <w:t xml:space="preserve">mol</w:t>
      </w:r>
      <w:r>
        <w:rPr>
          <w:vertAlign w:val="superscript"/>
        </w:rPr>
        <w:t xml:space="preserve">–1</w:t>
      </w:r>
    </w:p>
    <w:bookmarkEnd w:id="60"/>
    <w:bookmarkEnd w:id="61"/>
    <w:p>
      <w:pPr>
        <w:pStyle w:val="SmallWhiteGap"/>
      </w:pPr>
      <w:r>
        <w:t xml:space="preserve"> </w:t>
      </w:r>
    </w:p>
    <w:bookmarkStart w:id="70" w:name="fs-idp34274768"/>
    <w:p>
      <w:pPr>
        <w:pStyle w:val="Heading3Grey"/>
      </w:pPr>
      <w:r>
        <w:t xml:space="preserve">Example</w:t>
      </w:r>
      <w:r>
        <w:t xml:space="preserve"> </w:t>
      </w:r>
      <w:r>
        <w:t xml:space="preserve"> </w:t>
      </w:r>
      <w:r>
        <w:t xml:space="preserve">16.6</w:t>
      </w:r>
      <w:r>
        <w:t xml:space="preserve"> </w:t>
      </w:r>
      <w:r>
        <w:t xml:space="preserve"> </w:t>
      </w:r>
    </w:p>
    <w:p>
      <w:pPr>
        <w:pStyle w:val="Heading4Grey"/>
      </w:pPr>
      <w:r>
        <w:t xml:space="preserve">Determination of Δ</w:t>
      </w:r>
      <w:r>
        <w:rPr>
          <w:iCs/>
          <w:i/>
        </w:rPr>
        <w:t xml:space="preserve">S</w:t>
      </w:r>
      <w:r>
        <w:t xml:space="preserve">°</w:t>
      </w:r>
    </w:p>
    <w:p>
      <w:pPr>
        <w:pStyle w:val="NoteExampleGrey"/>
      </w:pPr>
      <w:r>
        <w:t xml:space="preserve">Calculate the standard entropy change for the combustion of methanol, CH</w:t>
      </w:r>
      <w:r>
        <w:rPr>
          <w:vertAlign w:val="subscript"/>
        </w:rPr>
        <w:t xml:space="preserve">3</w:t>
      </w:r>
      <w:r>
        <w:t xml:space="preserve">OH:</w:t>
      </w:r>
    </w:p>
    <w:bookmarkStart w:id="62" w:name="fs-idp22586368"/>
    <w:p>
      <w:pPr>
        <w:pStyle w:val="NoteExampleGrey"/>
      </w:pPr>
      <m:oMath>
        <m:r>
          <m:t>2</m:t>
        </m:r>
        <m:sSub>
          <m:e>
            <m:r>
              <m:rPr>
                <m:nor/>
                <m:sty m:val="p"/>
              </m:rPr>
              <m:t>CH</m:t>
            </m:r>
          </m:e>
          <m:sub>
            <m:r>
              <m:t>3</m:t>
            </m:r>
          </m:sub>
        </m:sSub>
        <m:r>
          <m:rPr>
            <m:nor/>
            <m:sty m:val="p"/>
          </m:rPr>
          <m:t>OH</m:t>
        </m:r>
        <m:d>
          <m:dPr>
            <m:begChr m:val="("/>
            <m:endChr m:val=")"/>
            <m:sepChr m:val=""/>
            <m:grow/>
          </m:dPr>
          <m:e>
            <m:r>
              <m:t>l</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p>
    <w:bookmarkEnd w:id="62"/>
    <w:p>
      <w:pPr>
        <w:pStyle w:val="Heading4Grey"/>
      </w:pPr>
      <w:r>
        <w:t xml:space="preserve">Solution</w:t>
      </w:r>
    </w:p>
    <w:p>
      <w:pPr>
        <w:pStyle w:val="NoteExampleGrey"/>
      </w:pPr>
      <w:r>
        <w:t xml:space="preserve">Calculate the entropy change using standard entropies as shown above:</w:t>
      </w:r>
    </w:p>
    <w:bookmarkStart w:id="63" w:name="fs-idp26460064"/>
    <w:p>
      <w:pPr>
        <w:pStyle w:val="NoteExampleGrey"/>
      </w:pPr>
      <m:oMath>
        <m:r>
          <m:rPr>
            <m:nor/>
            <m:sty m:val="p"/>
          </m:rPr>
          <m:t>Δ</m:t>
        </m:r>
        <m:r>
          <m:t>S</m:t>
        </m:r>
        <m:r>
          <m:rPr>
            <m:nor/>
            <m:sty m:val="p"/>
          </m:rPr>
          <m:t>°</m:t>
        </m:r>
        <m:r>
          <m:rPr>
            <m:sty m:val="p"/>
          </m:rPr>
          <m:t>=</m:t>
        </m:r>
        <m:r>
          <m:rPr>
            <m:sty m:val="p"/>
          </m:rPr>
          <m:t>∑</m:t>
        </m:r>
        <m:r>
          <m:t>ν</m:t>
        </m:r>
        <m:r>
          <m:t>S</m:t>
        </m:r>
        <m:r>
          <m:rPr>
            <m:nor/>
            <m:sty m:val="p"/>
          </m:rPr>
          <m:t>°</m:t>
        </m:r>
        <m:r>
          <m:rPr>
            <m:nor/>
            <m:sty m:val="p"/>
          </m:rPr>
          <m:t>(products)</m:t>
        </m:r>
        <m:r>
          <m:t> </m:t>
        </m:r>
        <m:r>
          <m:rPr>
            <m:sty m:val="p"/>
          </m:rPr>
          <m:t>−</m:t>
        </m:r>
        <m:r>
          <m:rPr>
            <m:sty m:val="p"/>
          </m:rPr>
          <m:t>∑</m:t>
        </m:r>
        <m:r>
          <m:t>ν</m:t>
        </m:r>
        <m:r>
          <m:t>S</m:t>
        </m:r>
        <m:r>
          <m:rPr>
            <m:nor/>
            <m:sty m:val="p"/>
          </m:rPr>
          <m:t>°</m:t>
        </m:r>
        <m:r>
          <m:rPr>
            <m:nor/>
            <m:sty m:val="p"/>
          </m:rPr>
          <m:t>(reactants)</m:t>
        </m:r>
      </m:oMath>
    </w:p>
    <w:bookmarkEnd w:id="63"/>
    <w:bookmarkStart w:id="67" w:name="fs-idm2438144"/>
    <w:p>
      <w:pPr>
        <w:pStyle w:val="NoteExampleGrey"/>
      </w:pPr>
      <w:r>
        <w:drawing>
          <wp:inline>
            <wp:extent cx="5943600" cy="393260"/>
            <wp:effectExtent b="0" l="0" r="0" t="0"/>
            <wp:docPr descr="None" title="" id="65" name="Picture"/>
            <a:graphic>
              <a:graphicData uri="http://schemas.openxmlformats.org/drawingml/2006/picture">
                <pic:pic>
                  <pic:nvPicPr>
                    <pic:cNvPr descr="../resources/9009c993b1a5242356fedce49263c03d618c3b2a" id="66" name="Picture"/>
                    <pic:cNvPicPr>
                      <a:picLocks noChangeArrowheads="1" noChangeAspect="1"/>
                    </pic:cNvPicPr>
                  </pic:nvPicPr>
                  <pic:blipFill>
                    <a:blip r:embed="rId64"/>
                    <a:stretch>
                      <a:fillRect/>
                    </a:stretch>
                  </pic:blipFill>
                  <pic:spPr bwMode="auto">
                    <a:xfrm>
                      <a:off x="0" y="0"/>
                      <a:ext cx="5943600" cy="393260"/>
                    </a:xfrm>
                    <a:prstGeom prst="rect">
                      <a:avLst/>
                    </a:prstGeom>
                    <a:noFill/>
                    <a:ln w="9525">
                      <a:noFill/>
                      <a:headEnd/>
                      <a:tailEnd/>
                    </a:ln>
                  </pic:spPr>
                </pic:pic>
              </a:graphicData>
            </a:graphic>
          </wp:inline>
        </w:drawing>
      </w:r>
    </w:p>
    <w:bookmarkEnd w:id="67"/>
    <w:p>
      <w:pPr>
        <w:pStyle w:val="Heading4Grey"/>
      </w:pPr>
      <w:r>
        <w:t xml:space="preserve">Check Your Learning</w:t>
      </w:r>
    </w:p>
    <w:p>
      <w:pPr>
        <w:pStyle w:val="NoteExampleGrey"/>
      </w:pPr>
      <w:r>
        <w:t xml:space="preserve">Calculate the standard entropy change for the following reaction:</w:t>
      </w:r>
    </w:p>
    <w:bookmarkStart w:id="68" w:name="fs-idp53679664"/>
    <w:p>
      <w:pPr>
        <w:pStyle w:val="NoteExampleGrey"/>
      </w:pPr>
      <m:oMath>
        <m:r>
          <m:rPr>
            <m:nor/>
            <m:sty m:val="p"/>
          </m:rPr>
          <m:t>Ca</m:t>
        </m:r>
        <m:sSub>
          <m:e>
            <m:d>
              <m:dPr>
                <m:begChr m:val="("/>
                <m:endChr m:val=")"/>
                <m:sepChr m:val=""/>
                <m:grow/>
              </m:dPr>
              <m:e>
                <m:r>
                  <m:rPr>
                    <m:nor/>
                    <m:sty m:val="p"/>
                  </m:rPr>
                  <m:t>OH</m:t>
                </m:r>
              </m:e>
            </m:d>
          </m:e>
          <m:sub>
            <m:r>
              <m:t>2</m:t>
            </m:r>
          </m:sub>
        </m:sSub>
        <m:d>
          <m:dPr>
            <m:begChr m:val="("/>
            <m:endChr m:val=")"/>
            <m:sepChr m:val=""/>
            <m:grow/>
          </m:dPr>
          <m:e>
            <m:r>
              <m:rPr>
                <m:nor/>
                <m:sty m:val="p"/>
              </m:rPr>
              <m:t>s</m:t>
            </m:r>
          </m:e>
        </m:d>
        <m:r>
          <m:t> </m:t>
        </m:r>
        <m:r>
          <m:rPr>
            <m:sty m:val="p"/>
          </m:rPr>
          <m:t>→</m:t>
        </m:r>
        <m:r>
          <m:t> </m:t>
        </m:r>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bookmarkEnd w:id="68"/>
    <w:bookmarkStart w:id="69" w:name="fs-idp174350576"/>
    <w:p>
      <w:pPr>
        <w:pStyle w:val="Heading3Grey"/>
      </w:pPr>
      <w:r>
        <w:t xml:space="preserve">Answer:</w:t>
      </w:r>
    </w:p>
    <w:p>
      <w:pPr>
        <w:pStyle w:val="NoteExampleGrey"/>
      </w:pPr>
      <w:r>
        <w:t xml:space="preserve">24.7 J/K</w:t>
      </w:r>
    </w:p>
    <w:bookmarkEnd w:id="69"/>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so" /><Relationship Type="http://schemas.openxmlformats.org/officeDocument/2006/relationships/image" Id="rId64" Target="media/rId64.so" /><Relationship Type="http://schemas.openxmlformats.org/officeDocument/2006/relationships/image" Id="rId40" Target="media/rId40.so" /><Relationship Type="http://schemas.openxmlformats.org/officeDocument/2006/relationships/image" Id="rId23" Target="media/rId23.so" /><Relationship Type="http://schemas.openxmlformats.org/officeDocument/2006/relationships/image" Id="rId36" Target="media/rId36.so" /><Relationship Type="http://schemas.openxmlformats.org/officeDocument/2006/relationships/hyperlink" Id="rId55" Target="http://openstax.org/books/chemistry-2e/pages/g-standard-thermodynamic-properties-for-selected-substanc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5" Target="http://openstax.org/books/chemistry-2e/pages/g-standard-thermodynamic-properties-for-selected-substa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2025-01-24T22:27:02Z</dcterms:created>
  <dcterms:modified xsi:type="dcterms:W3CDTF">2025-01-24T22:27:02Z</dcterms:modified>
</cp:coreProperties>
</file>

<file path=docProps/custom.xml><?xml version="1.0" encoding="utf-8"?>
<Properties xmlns="http://schemas.openxmlformats.org/officeDocument/2006/custom-properties" xmlns:vt="http://schemas.openxmlformats.org/officeDocument/2006/docPropsVTypes"/>
</file>