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58F67B00" w:rsidR="00B651BD" w:rsidRPr="002E126F" w:rsidRDefault="00496672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color w:val="000000" w:themeColor="text1"/>
          <w:sz w:val="28"/>
          <w:szCs w:val="28"/>
          <w:u w:val="single"/>
        </w:rPr>
        <w:tab/>
      </w:r>
      <w:r w:rsidR="00B651BD">
        <w:rPr>
          <w:b/>
          <w:color w:val="000000" w:themeColor="text1"/>
          <w:sz w:val="28"/>
          <w:szCs w:val="28"/>
          <w:u w:val="single"/>
        </w:rPr>
        <w:t>T</w:t>
      </w:r>
      <w:r w:rsidR="00B651BD"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 w:rsidR="00B651BD"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52A791E8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C81294">
        <w:rPr>
          <w:b/>
          <w:color w:val="000000" w:themeColor="text1"/>
        </w:rPr>
        <w:t>5</w:t>
      </w:r>
      <w:r w:rsidR="00BD46A9">
        <w:rPr>
          <w:b/>
          <w:color w:val="000000" w:themeColor="text1"/>
        </w:rPr>
        <w:t>5</w:t>
      </w:r>
    </w:p>
    <w:p w14:paraId="3209B653" w14:textId="47C821CC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050371">
        <w:rPr>
          <w:color w:val="000000" w:themeColor="text1"/>
          <w:sz w:val="20"/>
          <w:szCs w:val="20"/>
        </w:rPr>
        <w:t>8</w:t>
      </w:r>
      <w:r>
        <w:rPr>
          <w:color w:val="000000" w:themeColor="text1"/>
          <w:sz w:val="20"/>
          <w:szCs w:val="20"/>
        </w:rPr>
        <w:t xml:space="preserve">. </w:t>
      </w:r>
      <w:r w:rsidR="00B87C93">
        <w:rPr>
          <w:color w:val="000000" w:themeColor="text1"/>
          <w:sz w:val="20"/>
          <w:szCs w:val="20"/>
        </w:rPr>
        <w:t>júní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1AAC2851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  <w:r w:rsidR="00601138" w:rsidRPr="00601138">
        <w:drawing>
          <wp:inline distT="0" distB="0" distL="0" distR="0" wp14:anchorId="7046B5CE" wp14:editId="40FBE5D0">
            <wp:extent cx="3778250" cy="279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26E69F50" w14:textId="77777777" w:rsidR="00EE6DF0" w:rsidRDefault="00EE6DF0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0950C2B2" w14:textId="5B7E6E8C" w:rsidR="008F5B9C" w:rsidRDefault="0064057F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Fari yfir skjalið  eftir að athugasemdir frá</w:t>
      </w:r>
      <w:r w:rsidR="001E2757" w:rsidRPr="008F5B9C">
        <w:rPr>
          <w:rFonts w:ascii="Segoe UI" w:hAnsi="Segoe UI" w:cs="Segoe UI"/>
          <w:color w:val="24292E"/>
        </w:rPr>
        <w:t xml:space="preserve"> Sigurði hjá Alskilum og Ásge</w:t>
      </w:r>
      <w:r w:rsidR="0046740A" w:rsidRPr="008F5B9C">
        <w:rPr>
          <w:rFonts w:ascii="Segoe UI" w:hAnsi="Segoe UI" w:cs="Segoe UI"/>
          <w:color w:val="24292E"/>
        </w:rPr>
        <w:t>i</w:t>
      </w:r>
      <w:r w:rsidR="001E2757" w:rsidRPr="008F5B9C">
        <w:rPr>
          <w:rFonts w:ascii="Segoe UI" w:hAnsi="Segoe UI" w:cs="Segoe UI"/>
          <w:color w:val="24292E"/>
        </w:rPr>
        <w:t>ri hjá Debitum</w:t>
      </w:r>
      <w:r w:rsidR="005722A7" w:rsidRPr="008F5B9C">
        <w:rPr>
          <w:rFonts w:ascii="Segoe UI" w:hAnsi="Segoe UI" w:cs="Segoe UI"/>
          <w:color w:val="24292E"/>
        </w:rPr>
        <w:t xml:space="preserve"> </w:t>
      </w:r>
      <w:r w:rsidR="005431DD">
        <w:rPr>
          <w:rFonts w:ascii="Segoe UI" w:hAnsi="Segoe UI" w:cs="Segoe UI"/>
          <w:color w:val="24292E"/>
        </w:rPr>
        <w:t xml:space="preserve"> og Arion</w:t>
      </w:r>
      <w:r w:rsidR="00B4766D">
        <w:rPr>
          <w:rFonts w:ascii="Segoe UI" w:hAnsi="Segoe UI" w:cs="Segoe UI"/>
          <w:color w:val="24292E"/>
        </w:rPr>
        <w:t xml:space="preserve"> banka</w:t>
      </w:r>
      <w:r>
        <w:rPr>
          <w:rFonts w:ascii="Segoe UI" w:hAnsi="Segoe UI" w:cs="Segoe UI"/>
          <w:color w:val="24292E"/>
        </w:rPr>
        <w:t xml:space="preserve"> voru komnar í skjalið.</w:t>
      </w:r>
    </w:p>
    <w:p w14:paraId="3DDBE32A" w14:textId="1C63D21E" w:rsidR="0064057F" w:rsidRDefault="0064057F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Rætt um vensl skjala og krafna og RB óskaði eftir að kynna tillögu að lausn undir dagskrárlið krafna.</w:t>
      </w:r>
    </w:p>
    <w:p w14:paraId="3C8099E5" w14:textId="79D05B27" w:rsidR="0064057F" w:rsidRDefault="0064057F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GJ</w:t>
      </w:r>
      <w:r w:rsidR="00601138">
        <w:rPr>
          <w:rFonts w:ascii="Segoe UI" w:hAnsi="Segoe UI" w:cs="Segoe UI"/>
          <w:color w:val="24292E"/>
        </w:rPr>
        <w:t>H</w:t>
      </w:r>
      <w:r>
        <w:rPr>
          <w:rFonts w:ascii="Segoe UI" w:hAnsi="Segoe UI" w:cs="Segoe UI"/>
          <w:color w:val="24292E"/>
        </w:rPr>
        <w:t xml:space="preserve"> skráð</w:t>
      </w:r>
      <w:r w:rsidR="00601138"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 xml:space="preserve"> niður nokkrar texta</w:t>
      </w:r>
      <w:r w:rsidR="00601138">
        <w:rPr>
          <w:rFonts w:ascii="Segoe UI" w:hAnsi="Segoe UI" w:cs="Segoe UI"/>
          <w:color w:val="24292E"/>
        </w:rPr>
        <w:t>breytingar sem verða gerðar eftir fund. Einnig þarf að lagfæra yaml skjalið.</w:t>
      </w:r>
    </w:p>
    <w:p w14:paraId="2C407B7F" w14:textId="77777777" w:rsidR="00B4766D" w:rsidRDefault="00B4766D" w:rsidP="00B4766D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Rafræn skjöl</w:t>
      </w:r>
    </w:p>
    <w:p w14:paraId="40CE7627" w14:textId="77777777" w:rsidR="00B4766D" w:rsidRDefault="00B4766D" w:rsidP="00B4766D">
      <w:pPr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Þegar rafrænt skjal er sent inn væri geymslumiðil í slóðinni</w:t>
      </w:r>
    </w:p>
    <w:p w14:paraId="4B9786CA" w14:textId="77777777" w:rsidR="00B4766D" w:rsidRDefault="00B4766D" w:rsidP="00B4766D">
      <w:pPr>
        <w:numPr>
          <w:ilvl w:val="2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Dæmi: /v1/documents/{documentStoreLocation}/{documents-id} -&gt; /v1/documents/greidsluveitan/{documents-id}: /v1/documents/BankiX/{documents-id}:</w:t>
      </w:r>
    </w:p>
    <w:p w14:paraId="413079FD" w14:textId="3BB547B0" w:rsidR="00320E40" w:rsidRDefault="00601138" w:rsidP="00FD442C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HVH Landsbankinn mun lesa skjalið yfir lokayfirlestur fyrir útgáfu.</w:t>
      </w:r>
    </w:p>
    <w:p w14:paraId="4F52A96B" w14:textId="69DF0A2A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755D">
        <w:rPr>
          <w:b/>
        </w:rPr>
        <w:t>Innheimtukröfur</w:t>
      </w:r>
      <w:r w:rsidR="00D21780" w:rsidRPr="0037755D">
        <w:rPr>
          <w:b/>
        </w:rPr>
        <w:t xml:space="preserve"> - TS-315</w:t>
      </w:r>
    </w:p>
    <w:p w14:paraId="3DB4980F" w14:textId="128D3D0E" w:rsidR="00B95B18" w:rsidRDefault="00B95B18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</w:rPr>
      </w:pPr>
      <w:bookmarkStart w:id="0" w:name="_Hlk74043526"/>
      <w:r>
        <w:rPr>
          <w:rFonts w:ascii="Segoe UI" w:hAnsi="Segoe UI" w:cs="Segoe UI"/>
          <w:color w:val="24292E"/>
        </w:rPr>
        <w:t>Vensl skjala og krafna/hluta</w:t>
      </w:r>
    </w:p>
    <w:p w14:paraId="78C5CD4D" w14:textId="5436D86A" w:rsidR="00601138" w:rsidRDefault="00601138" w:rsidP="00B4766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RB fór yfir tillögur í pósti frá GAH - frá 28.5 sl.</w:t>
      </w:r>
      <w:r w:rsidR="00B95B18">
        <w:rPr>
          <w:rFonts w:ascii="Segoe UI" w:hAnsi="Segoe UI" w:cs="Segoe UI"/>
          <w:color w:val="24292E"/>
        </w:rPr>
        <w:t xml:space="preserve"> </w:t>
      </w:r>
      <w:r w:rsidR="003B1D23">
        <w:rPr>
          <w:rFonts w:ascii="Segoe UI" w:hAnsi="Segoe UI" w:cs="Segoe UI"/>
          <w:color w:val="24292E"/>
        </w:rPr>
        <w:t>Grunnhugmyndin er að kveikja og slökkva á tengingum skjala og hluta.</w:t>
      </w:r>
    </w:p>
    <w:p w14:paraId="425C3A36" w14:textId="77777777" w:rsidR="009C011D" w:rsidRPr="009C011D" w:rsidRDefault="009C011D" w:rsidP="009C011D">
      <w:pPr>
        <w:pStyle w:val="NormalWeb"/>
        <w:numPr>
          <w:ilvl w:val="1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9C011D">
        <w:rPr>
          <w:rFonts w:ascii="Segoe UI" w:hAnsi="Segoe UI" w:cs="Segoe UI"/>
          <w:color w:val="24292E"/>
          <w:sz w:val="20"/>
          <w:szCs w:val="20"/>
        </w:rPr>
        <w:t>ConncectDocument (POST v1/claims/{id}/documents/): Skráir tenginu milli kröfu of rafræns skjals.</w:t>
      </w:r>
    </w:p>
    <w:p w14:paraId="6732063A" w14:textId="77777777" w:rsidR="009C011D" w:rsidRPr="009C011D" w:rsidRDefault="009C011D" w:rsidP="009C011D">
      <w:pPr>
        <w:numPr>
          <w:ilvl w:val="2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9C011D">
        <w:rPr>
          <w:rFonts w:ascii="Segoe UI" w:hAnsi="Segoe UI" w:cs="Segoe UI"/>
          <w:color w:val="24292E"/>
          <w:sz w:val="20"/>
          <w:szCs w:val="20"/>
        </w:rPr>
        <w:t>POST v1/{topic}/{id}/{connectionType}/</w:t>
      </w:r>
    </w:p>
    <w:p w14:paraId="0525CC65" w14:textId="77777777" w:rsidR="009C011D" w:rsidRPr="009C011D" w:rsidRDefault="009C011D" w:rsidP="009C011D">
      <w:pPr>
        <w:pStyle w:val="NormalWeb"/>
        <w:numPr>
          <w:ilvl w:val="1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9C011D">
        <w:rPr>
          <w:rFonts w:ascii="Segoe UI" w:hAnsi="Segoe UI" w:cs="Segoe UI"/>
          <w:color w:val="24292E"/>
          <w:sz w:val="20"/>
          <w:szCs w:val="20"/>
        </w:rPr>
        <w:t>DisconnectDocument (DELETE v1/claims/{id}/documents/{sourceSystemId}/{documentId}/): Rýfur tenginu milli kröfu og rafræns skjals</w:t>
      </w:r>
    </w:p>
    <w:p w14:paraId="161EF2B2" w14:textId="77777777" w:rsidR="009C011D" w:rsidRPr="009C011D" w:rsidRDefault="009C011D" w:rsidP="009C011D">
      <w:pPr>
        <w:numPr>
          <w:ilvl w:val="2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9C011D">
        <w:rPr>
          <w:rFonts w:ascii="Segoe UI" w:hAnsi="Segoe UI" w:cs="Segoe UI"/>
          <w:color w:val="24292E"/>
          <w:sz w:val="20"/>
          <w:szCs w:val="20"/>
        </w:rPr>
        <w:t>DELETE v1/{topic}/{id}/{connectionType}/{sourceSystemId}/{genericId}/</w:t>
      </w:r>
    </w:p>
    <w:p w14:paraId="329CE8AA" w14:textId="12B9AD35" w:rsidR="00B95B18" w:rsidRDefault="00B95B18" w:rsidP="00B4766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Við skoðun tillagna lá fyrir að stofnað yrði sér skjal um tengingar. Þannig megi halda áfram vinnu við kröfur</w:t>
      </w:r>
      <w:r w:rsidR="003B1D23">
        <w:rPr>
          <w:rFonts w:ascii="Segoe UI" w:hAnsi="Segoe UI" w:cs="Segoe UI"/>
          <w:color w:val="24292E"/>
        </w:rPr>
        <w:t xml:space="preserve"> og eins vensla alla hluti við alla. Ekki heppilegast að útfæra þetta í skjali um kröfur.</w:t>
      </w:r>
      <w:r>
        <w:rPr>
          <w:rFonts w:ascii="Segoe UI" w:hAnsi="Segoe UI" w:cs="Segoe UI"/>
          <w:color w:val="24292E"/>
        </w:rPr>
        <w:t xml:space="preserve"> </w:t>
      </w:r>
    </w:p>
    <w:p w14:paraId="237337AE" w14:textId="77777777" w:rsidR="00804AAD" w:rsidRDefault="00B95B18" w:rsidP="00B95B1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Þ</w:t>
      </w:r>
      <w:r>
        <w:rPr>
          <w:rFonts w:ascii="Segoe UI" w:hAnsi="Segoe UI" w:cs="Segoe UI"/>
          <w:color w:val="24292E"/>
        </w:rPr>
        <w:t>að var mat fundarmanna að þetta væri verulegt framfaraskref</w:t>
      </w:r>
      <w:r w:rsidR="00804AAD">
        <w:rPr>
          <w:rFonts w:ascii="Segoe UI" w:hAnsi="Segoe UI" w:cs="Segoe UI"/>
          <w:color w:val="24292E"/>
        </w:rPr>
        <w:t xml:space="preserve"> ef þetta næðist</w:t>
      </w:r>
      <w:r>
        <w:rPr>
          <w:rFonts w:ascii="Segoe UI" w:hAnsi="Segoe UI" w:cs="Segoe UI"/>
          <w:color w:val="24292E"/>
        </w:rPr>
        <w:t>.</w:t>
      </w:r>
    </w:p>
    <w:p w14:paraId="18CF5E47" w14:textId="4551F961" w:rsidR="00B95B18" w:rsidRDefault="00B95B18" w:rsidP="00B95B18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HVH benti á að þetta hefði í för með sér djúp samskipti milli banka og </w:t>
      </w:r>
      <w:r w:rsidR="00804AAD">
        <w:rPr>
          <w:rFonts w:ascii="Segoe UI" w:hAnsi="Segoe UI" w:cs="Segoe UI"/>
          <w:color w:val="24292E"/>
        </w:rPr>
        <w:t>taka þurfi tillit til þess við mótun þessa verkefnis</w:t>
      </w:r>
      <w:r>
        <w:rPr>
          <w:rFonts w:ascii="Segoe UI" w:hAnsi="Segoe UI" w:cs="Segoe UI"/>
          <w:color w:val="24292E"/>
        </w:rPr>
        <w:t>.</w:t>
      </w:r>
    </w:p>
    <w:p w14:paraId="32A41E1E" w14:textId="77777777" w:rsidR="00B95B18" w:rsidRDefault="00B95B18" w:rsidP="00B4766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Útfærsla á tenginum er utan umfangs IOBWS Vþ4.</w:t>
      </w:r>
    </w:p>
    <w:p w14:paraId="38C13878" w14:textId="4F6C0047" w:rsidR="00B95B18" w:rsidRDefault="00745535" w:rsidP="00B4766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Ákveðið að GJH, GAH og GV skrifi</w:t>
      </w:r>
      <w:r w:rsidR="00B95B18">
        <w:rPr>
          <w:rFonts w:ascii="Segoe UI" w:hAnsi="Segoe UI" w:cs="Segoe UI"/>
          <w:color w:val="24292E"/>
        </w:rPr>
        <w:t xml:space="preserve"> drög að</w:t>
      </w:r>
      <w:r>
        <w:rPr>
          <w:rFonts w:ascii="Segoe UI" w:hAnsi="Segoe UI" w:cs="Segoe UI"/>
          <w:color w:val="24292E"/>
        </w:rPr>
        <w:t xml:space="preserve"> verklýsingu sem verður síðan tekin fyrir á vettvangi TN-FMÞ</w:t>
      </w:r>
      <w:r w:rsidR="00B95B18">
        <w:rPr>
          <w:rFonts w:ascii="Segoe UI" w:hAnsi="Segoe UI" w:cs="Segoe UI"/>
          <w:color w:val="24292E"/>
        </w:rPr>
        <w:t>. Næsti fundur TN-FMÞ-VH7 Viðhald og þróun er 24.8.</w:t>
      </w:r>
    </w:p>
    <w:bookmarkEnd w:id="0"/>
    <w:p w14:paraId="7350095B" w14:textId="23638906" w:rsidR="00B95B18" w:rsidRDefault="00B95B18" w:rsidP="00B95B1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Farið yfir athugasemdir frá Ásgeir Hallórss - skráð inn í athugasemdaskjal ÁH. GJH uppfærir í </w:t>
      </w:r>
      <w:r w:rsidR="009C011D">
        <w:rPr>
          <w:rFonts w:ascii="Segoe UI" w:hAnsi="Segoe UI" w:cs="Segoe UI"/>
          <w:color w:val="24292E"/>
        </w:rPr>
        <w:t xml:space="preserve">yaml skjali og </w:t>
      </w:r>
      <w:r>
        <w:rPr>
          <w:rFonts w:ascii="Segoe UI" w:hAnsi="Segoe UI" w:cs="Segoe UI"/>
          <w:color w:val="24292E"/>
        </w:rPr>
        <w:t>TS-315</w:t>
      </w:r>
      <w:r w:rsidR="009C011D">
        <w:rPr>
          <w:rFonts w:ascii="Segoe UI" w:hAnsi="Segoe UI" w:cs="Segoe UI"/>
          <w:color w:val="24292E"/>
        </w:rPr>
        <w:t>.</w:t>
      </w:r>
    </w:p>
    <w:p w14:paraId="4EE7EB96" w14:textId="7A48D10E" w:rsidR="00B95B18" w:rsidRDefault="00C9193D" w:rsidP="00C9193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Landsbankinn mun lesa yfir TS 315 og tilheyrandi yaml 11.6 samkvæmt pósti frá Guðna.</w:t>
      </w:r>
    </w:p>
    <w:p w14:paraId="403C2E0A" w14:textId="526EEA9B" w:rsidR="00804AAD" w:rsidRPr="00804AAD" w:rsidRDefault="00C9193D" w:rsidP="007910DF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804AAD">
        <w:rPr>
          <w:rFonts w:ascii="Segoe UI" w:hAnsi="Segoe UI" w:cs="Segoe UI"/>
          <w:color w:val="24292E"/>
        </w:rPr>
        <w:t>GJH óskar eftir að athugsemdir séu settar upp sem pull requtest.</w:t>
      </w:r>
    </w:p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12B1B18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5F36A78" w14:textId="77777777" w:rsidR="00992735" w:rsidRDefault="00992735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386325ED" w14:textId="4BC3F48B" w:rsidR="00B4766D" w:rsidRPr="00B4766D" w:rsidRDefault="00B4766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setji á morgun/</w:t>
      </w:r>
      <w:r w:rsidR="00804AAD">
        <w:rPr>
          <w:color w:val="000000" w:themeColor="text1"/>
          <w:szCs w:val="28"/>
        </w:rPr>
        <w:t>9</w:t>
      </w:r>
      <w:r>
        <w:rPr>
          <w:color w:val="000000" w:themeColor="text1"/>
          <w:szCs w:val="28"/>
        </w:rPr>
        <w:t>.6 fyrstu uppfærð drög að yaml skjali</w:t>
      </w:r>
      <w:r w:rsidR="00804AAD">
        <w:rPr>
          <w:color w:val="000000" w:themeColor="text1"/>
          <w:szCs w:val="28"/>
        </w:rPr>
        <w:t xml:space="preserve"> fyrir kröfur</w:t>
      </w:r>
      <w:r>
        <w:rPr>
          <w:color w:val="000000" w:themeColor="text1"/>
          <w:szCs w:val="28"/>
        </w:rPr>
        <w:t xml:space="preserve"> á </w:t>
      </w:r>
      <w:hyperlink r:id="rId9" w:history="1">
        <w:r w:rsidRPr="0031489A">
          <w:rPr>
            <w:rStyle w:val="Hyperlink"/>
            <w:szCs w:val="28"/>
          </w:rPr>
          <w:t>https://github.com/stadlar/IST-FUT-FMTH/tree/master/V</w:t>
        </w:r>
        <w:r w:rsidRPr="0031489A">
          <w:rPr>
            <w:rStyle w:val="Hyperlink"/>
            <w:szCs w:val="28"/>
          </w:rPr>
          <w:t>i</w:t>
        </w:r>
        <w:r w:rsidRPr="0031489A">
          <w:rPr>
            <w:rStyle w:val="Hyperlink"/>
            <w:szCs w:val="28"/>
          </w:rPr>
          <w:t>nnusv%C3%A6%C3%B0i/Verk%C3%BE%C3%A1ttur%204</w:t>
        </w:r>
      </w:hyperlink>
      <w:r>
        <w:rPr>
          <w:color w:val="000000" w:themeColor="text1"/>
          <w:szCs w:val="28"/>
        </w:rPr>
        <w:t xml:space="preserve"> </w:t>
      </w:r>
    </w:p>
    <w:p w14:paraId="1262297B" w14:textId="77777777" w:rsidR="009C011D" w:rsidRDefault="009C011D" w:rsidP="009C011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B4766D">
        <w:rPr>
          <w:color w:val="000000" w:themeColor="text1"/>
          <w:szCs w:val="28"/>
        </w:rPr>
        <w:t xml:space="preserve">HVH Landsbankinn mun lesa </w:t>
      </w:r>
      <w:r>
        <w:rPr>
          <w:color w:val="000000" w:themeColor="text1"/>
          <w:szCs w:val="28"/>
        </w:rPr>
        <w:t>lokadrög TS 314</w:t>
      </w:r>
      <w:r w:rsidRPr="00B4766D">
        <w:rPr>
          <w:color w:val="000000" w:themeColor="text1"/>
          <w:szCs w:val="28"/>
        </w:rPr>
        <w:t xml:space="preserve"> yfir lokayfirlestur fyrir útgáfu.</w:t>
      </w:r>
    </w:p>
    <w:p w14:paraId="0C0CFDFD" w14:textId="3F131BB1" w:rsidR="00911100" w:rsidRDefault="00911100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Allir með heimaverkefni, </w:t>
      </w:r>
      <w:r w:rsidR="00173C4C">
        <w:rPr>
          <w:color w:val="000000" w:themeColor="text1"/>
          <w:szCs w:val="28"/>
        </w:rPr>
        <w:t xml:space="preserve">fara yfir </w:t>
      </w:r>
      <w:r w:rsidR="000C1C85">
        <w:rPr>
          <w:color w:val="000000" w:themeColor="text1"/>
          <w:szCs w:val="28"/>
        </w:rPr>
        <w:t xml:space="preserve">yaml skjal fyrir kröfur </w:t>
      </w:r>
    </w:p>
    <w:p w14:paraId="146EA546" w14:textId="5B1A192F" w:rsidR="000C1C85" w:rsidRDefault="00B4766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skrifi a</w:t>
      </w:r>
      <w:r w:rsidR="000C1C85">
        <w:rPr>
          <w:color w:val="000000" w:themeColor="text1"/>
          <w:szCs w:val="28"/>
        </w:rPr>
        <w:t xml:space="preserve">thugasemdir við yaml skjal beint í GitHub </w:t>
      </w:r>
      <w:r>
        <w:rPr>
          <w:color w:val="000000" w:themeColor="text1"/>
          <w:szCs w:val="28"/>
        </w:rPr>
        <w:t>pull request.</w:t>
      </w:r>
      <w:r w:rsidR="000C1C85">
        <w:rPr>
          <w:color w:val="000000" w:themeColor="text1"/>
          <w:szCs w:val="28"/>
        </w:rPr>
        <w:t xml:space="preserve"> 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40A575BF" w:rsidR="00B651BD" w:rsidRDefault="00B651BD" w:rsidP="00A36EDB">
      <w:pPr>
        <w:ind w:left="360"/>
      </w:pPr>
      <w:r>
        <w:t>Næsti fundur TN-FMÞ-VH1-</w:t>
      </w:r>
      <w:r w:rsidR="00AA7A02">
        <w:t>5</w:t>
      </w:r>
      <w:r w:rsidR="00804AAD">
        <w:t>6</w:t>
      </w:r>
      <w:r>
        <w:t xml:space="preserve"> þri </w:t>
      </w:r>
      <w:r w:rsidR="00017495">
        <w:t xml:space="preserve"> </w:t>
      </w:r>
      <w:r w:rsidR="00804AAD">
        <w:t>15</w:t>
      </w:r>
      <w:r w:rsidR="00AA7A02">
        <w:t>.</w:t>
      </w:r>
      <w:r w:rsidR="00D64C9C">
        <w:t>6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77777777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>Dagskrá fundar 56</w:t>
      </w:r>
    </w:p>
    <w:p w14:paraId="029338BF" w14:textId="77777777" w:rsidR="00804AAD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9:00-9:30 Rafrænar kröfur yfirferð athugasemda við TS 314</w:t>
      </w:r>
    </w:p>
    <w:p w14:paraId="64F4BABF" w14:textId="77777777" w:rsidR="00804AAD" w:rsidRDefault="00804AAD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9:30-11:00 Innheimtukröfur – Drög að yaml skjal</w:t>
      </w:r>
      <w:bookmarkEnd w:id="2"/>
      <w:r>
        <w:rPr>
          <w:color w:val="000000"/>
        </w:rPr>
        <w:t>i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B2B7" w14:textId="77777777" w:rsidR="009A579C" w:rsidRDefault="009A5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591487CA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9A579C">
      <w:rPr>
        <w:rFonts w:ascii="Polaris Book" w:hAnsi="Polaris Book" w:cs="Times New Roman"/>
        <w:noProof/>
        <w:color w:val="0F2330"/>
        <w:sz w:val="16"/>
        <w:szCs w:val="16"/>
      </w:rPr>
      <w:t>TN FMÞ-VH1-55-210608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BC07" w14:textId="77777777" w:rsidR="009A579C" w:rsidRDefault="009A5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C0F0" w14:textId="77777777" w:rsidR="009A579C" w:rsidRDefault="009A5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7926" w14:textId="77777777" w:rsidR="009A579C" w:rsidRDefault="009A5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27710"/>
    <w:multiLevelType w:val="hybridMultilevel"/>
    <w:tmpl w:val="3A1A6F0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5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10312E"/>
    <w:rsid w:val="00116222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241A2A"/>
    <w:rsid w:val="0029763C"/>
    <w:rsid w:val="002A0043"/>
    <w:rsid w:val="002A18A2"/>
    <w:rsid w:val="002B061A"/>
    <w:rsid w:val="002E2A34"/>
    <w:rsid w:val="00316E8B"/>
    <w:rsid w:val="00320E40"/>
    <w:rsid w:val="00352C74"/>
    <w:rsid w:val="003620E9"/>
    <w:rsid w:val="0037755D"/>
    <w:rsid w:val="003B1D23"/>
    <w:rsid w:val="003B485E"/>
    <w:rsid w:val="003D103C"/>
    <w:rsid w:val="003D5B07"/>
    <w:rsid w:val="003E51B1"/>
    <w:rsid w:val="00402563"/>
    <w:rsid w:val="0041030E"/>
    <w:rsid w:val="0043799D"/>
    <w:rsid w:val="004562B5"/>
    <w:rsid w:val="0046740A"/>
    <w:rsid w:val="00496672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23876"/>
    <w:rsid w:val="0064057F"/>
    <w:rsid w:val="00644666"/>
    <w:rsid w:val="00664189"/>
    <w:rsid w:val="006669EB"/>
    <w:rsid w:val="0067024B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A32E9"/>
    <w:rsid w:val="008038C6"/>
    <w:rsid w:val="00804AAD"/>
    <w:rsid w:val="00815B3F"/>
    <w:rsid w:val="00821548"/>
    <w:rsid w:val="00884C2C"/>
    <w:rsid w:val="008954EC"/>
    <w:rsid w:val="008A641A"/>
    <w:rsid w:val="008D425D"/>
    <w:rsid w:val="008E011C"/>
    <w:rsid w:val="008F5B9C"/>
    <w:rsid w:val="00903AE2"/>
    <w:rsid w:val="00911100"/>
    <w:rsid w:val="00920F22"/>
    <w:rsid w:val="009264A5"/>
    <w:rsid w:val="00937621"/>
    <w:rsid w:val="00962022"/>
    <w:rsid w:val="00984AC4"/>
    <w:rsid w:val="00984FF3"/>
    <w:rsid w:val="00986CDD"/>
    <w:rsid w:val="00992735"/>
    <w:rsid w:val="009A2F9F"/>
    <w:rsid w:val="009A579C"/>
    <w:rsid w:val="009B2AF8"/>
    <w:rsid w:val="009B5E62"/>
    <w:rsid w:val="009B7B2C"/>
    <w:rsid w:val="009C011D"/>
    <w:rsid w:val="009D62C3"/>
    <w:rsid w:val="00A00DC4"/>
    <w:rsid w:val="00A06926"/>
    <w:rsid w:val="00A205E0"/>
    <w:rsid w:val="00A22F3C"/>
    <w:rsid w:val="00A36EDB"/>
    <w:rsid w:val="00A57541"/>
    <w:rsid w:val="00A71FE9"/>
    <w:rsid w:val="00AA7A02"/>
    <w:rsid w:val="00AF13E2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E4331"/>
    <w:rsid w:val="00C00D68"/>
    <w:rsid w:val="00C81294"/>
    <w:rsid w:val="00C9093F"/>
    <w:rsid w:val="00C9193D"/>
    <w:rsid w:val="00C96345"/>
    <w:rsid w:val="00CB76E4"/>
    <w:rsid w:val="00CB7791"/>
    <w:rsid w:val="00D0326B"/>
    <w:rsid w:val="00D1593C"/>
    <w:rsid w:val="00D21780"/>
    <w:rsid w:val="00D24B8D"/>
    <w:rsid w:val="00D362CA"/>
    <w:rsid w:val="00D37CCB"/>
    <w:rsid w:val="00D64821"/>
    <w:rsid w:val="00D64C9C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6134C"/>
    <w:rsid w:val="00E66ECA"/>
    <w:rsid w:val="00E719A0"/>
    <w:rsid w:val="00EA415A"/>
    <w:rsid w:val="00ED4802"/>
    <w:rsid w:val="00EE6DF0"/>
    <w:rsid w:val="00F13292"/>
    <w:rsid w:val="00F264FF"/>
    <w:rsid w:val="00F475EA"/>
    <w:rsid w:val="00F574DA"/>
    <w:rsid w:val="00FD442C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tadlar/IST-FUT-FMTH/tree/master/Vinnusv%C3%A6%C3%B0i/Verk%C3%BE%C3%A1ttur%204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8</cp:revision>
  <dcterms:created xsi:type="dcterms:W3CDTF">2021-06-07T16:03:00Z</dcterms:created>
  <dcterms:modified xsi:type="dcterms:W3CDTF">2021-06-08T14:11:00Z</dcterms:modified>
</cp:coreProperties>
</file>