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AE/SAE/CM PRD 3 4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PRD3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一、产品背景与目标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业务背景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CRC 在 Step 2 完成表格复核后，需将本访视 AE / SAE / CM 结构化结果导出归档，供项目组查阅+ EDC 二次录入。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范围说明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包含：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3 导出页（格式卡片 + 文件名预览 + 下载）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/CSV两种格式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二、页面布局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结构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3/3 · 导出文档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选择导出格式，下载本访视 AE/SAE/CM 结构化结果（已脱敏）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┌─────────────────┐ ┌─────────────────┐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 预览区：34S001_AE_Report.xlsx · 1.2 MB 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○ PDF 报告 │ │ ● Excel 表格 │ ← 格式卡片单选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└─────────────────┘ └─────────────────┘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← 返回复核 ] [ 下载 Excel 表格 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顶部介绍区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格式卡片</w:t>
      </w:r>
      <w:bookmarkEnd w:id="7"/>
    </w:p>
    <w:p>
      <w:pPr>
        <w:spacing w:before="120" w:after="120" w:line="288" w:lineRule="auto"/>
        <w:ind w:left="0"/>
      </w:pPr>
      <w:r>
        <w:object>
          <v:shape id="_x0000_i1026" style="width:414pt;height:10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卡片单选，选中态蓝色边框 + radio 样式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切换格式实时更新预览区文件名与按钮文案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2.4 预览区</w:t>
      </w:r>
      <w:bookmarkEnd w:id="8"/>
    </w:p>
    <w:p>
      <w:pPr>
        <w:spacing w:before="120" w:after="120" w:line="288" w:lineRule="auto"/>
        <w:ind w:left="0"/>
      </w:pPr>
      <w:r>
        <w:object>
          <v:shape id="_x0000_i1027" style="width:414pt;height:11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2.5 底部操作</w:t>
      </w:r>
      <w:bookmarkEnd w:id="9"/>
    </w:p>
    <w:p>
      <w:pPr>
        <w:spacing w:before="120" w:after="120" w:line="288" w:lineRule="auto"/>
        <w:ind w:left="0"/>
      </w:pPr>
      <w:r>
        <w:object>
          <v:shape id="_x0000_i1028" style="width:414pt;height:3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三、导出内容与命名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文件命名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受试者编号_AE/SAE/CM_Report_YYYYMMDDHHMM.{csv|xlsx}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  <w:r>
        <w:rPr>
          <w:rFonts w:eastAsia="等线" w:ascii="Arial" w:cs="Arial" w:hAnsi="Arial"/>
          <w:sz w:val="22"/>
        </w:rPr>
        <w:t xml:space="preserve"> 34S001_AE/SAE/CM_Report_202605062125.xlsx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内容范围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数据范围：</w:t>
      </w:r>
      <w:r>
        <w:rPr>
          <w:rFonts w:eastAsia="等线" w:ascii="Arial" w:cs="Arial" w:hAnsi="Arial"/>
          <w:sz w:val="22"/>
        </w:rPr>
        <w:t xml:space="preserve"> 当前访视、Step 2 锁定后的 AE + SAE + CM 三张表（demo 文案：含 3 张结构化表）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Excel 建议结构（实现参考）：</w:t>
      </w:r>
    </w:p>
    <w:p>
      <w:pPr>
        <w:spacing w:before="120" w:after="120" w:line="288" w:lineRule="auto"/>
        <w:ind w:left="0"/>
      </w:pPr>
      <w:r>
        <w:object>
          <v:shape id="_x0000_i1029" style="width:414pt;height:75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PDF 建议内容：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 / 受试者 / 访视 / 中心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AE 汇总表（打印友好）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附录：未关闭质疑摘要</w:t>
      </w:r>
      <w:r>
        <w:rPr>
          <w:rFonts w:eastAsia="等线" w:ascii="Arial" w:cs="Arial" w:hAnsi="Arial"/>
          <w:sz w:val="22"/>
        </w:rPr>
        <w:t>（Case / 访视 / 行 / 最新一条）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签字栏占位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导出后行为（Demo）</w:t>
      </w:r>
      <w:bookmarkEnd w:id="1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Toast：已生成 {filename}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2：</w:t>
      </w:r>
      <w:r>
        <w:rPr>
          <w:rFonts w:eastAsia="等线" w:ascii="Arial" w:cs="Arial" w:hAnsi="Arial"/>
          <w:sz w:val="22"/>
        </w:rPr>
        <w:t xml:space="preserve"> 浏览器下载 + 归档至导出文件管理 + 审计日志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五、验收标准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AC-1 · 导出页</w:t>
      </w:r>
      <w:bookmarkEnd w:id="1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锁定后进入 Step 3，展示 Excel/CSV 两卡片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默认或选中 Excel，预览文件名正确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AC-2 · 下载</w:t>
      </w:r>
      <w:bookmarkEnd w:id="1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点击下载 → toast 含正确文件名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一、产品背景与目标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1.1 业务背景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CRC 在 Step 2 完成表格复核后，需将本访视 AE / SAE / CM 结构化结果导出归档，供项目组查阅+ EDC 二次录入。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1.2 范围说明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包含：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3 导出页（格式卡片 + 文件名预览 + 下载）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/CSV两种格式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二、页面布局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2.1 结构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3/3 · 导出文档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选择导出格式，下载本访视 AE/SAE/CM 结构化结果（已脱敏）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┌─────────────────┐ ┌─────────────────┐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 预览区：34S001_AE_Report.xlsx · 1.2 MB 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○ PDF 报告 │ │ ● Excel 表格 │ ← 格式卡片单选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└─────────────────┘ └─────────────────┘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← 返回复核 ] [ 下载 Excel 表格 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2.2 顶部介绍区</w:t>
      </w:r>
      <w:bookmarkEnd w:id="22"/>
    </w:p>
    <w:p>
      <w:pPr>
        <w:spacing w:before="120" w:after="120" w:line="288" w:lineRule="auto"/>
        <w:ind w:left="0"/>
      </w:pPr>
      <w:r>
        <w:object>
          <v:shape id="_x0000_i1030" style="width:414pt;height:107pt;mso-width-percent:0;mso-height-percent:0;mso-width-percent:0;mso-height-percent:0" type="#_x0000_t75" o:ole="">
            <v:imagedata r:id="rId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2.3 格式卡片</w:t>
      </w:r>
      <w:bookmarkEnd w:id="23"/>
    </w:p>
    <w:p>
      <w:pPr>
        <w:spacing w:before="120" w:after="120" w:line="288" w:lineRule="auto"/>
        <w:ind w:left="0"/>
      </w:pPr>
      <w:r>
        <w:object>
          <v:shape id="_x0000_i1031" style="width:414pt;height:56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卡片单选，选中态蓝色边框 + radio 样式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切换格式实时更新预览区文件名与按钮文案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2.4 预览区</w:t>
      </w:r>
      <w:bookmarkEnd w:id="24"/>
    </w:p>
    <w:p>
      <w:pPr>
        <w:spacing w:before="120" w:after="120" w:line="288" w:lineRule="auto"/>
        <w:ind w:left="0"/>
      </w:pPr>
      <w:r>
        <w:object>
          <v:shape id="_x0000_i1032" style="width:414pt;height:75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2.5 底部操作</w:t>
      </w:r>
      <w:bookmarkEnd w:id="25"/>
    </w:p>
    <w:p>
      <w:pPr>
        <w:spacing w:before="120" w:after="120" w:line="288" w:lineRule="auto"/>
        <w:ind w:left="0"/>
      </w:pPr>
      <w:r>
        <w:object>
          <v:shape id="_x0000_i1033" style="width:414pt;height:37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三、导出内容与命名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3.1 文件命名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受试者编号_AE/SAE/CM_Report_YYYYMMDDHHMM.{csv|xlsx}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  <w:r>
        <w:rPr>
          <w:rFonts w:eastAsia="等线" w:ascii="Arial" w:cs="Arial" w:hAnsi="Arial"/>
          <w:sz w:val="22"/>
        </w:rPr>
        <w:t xml:space="preserve"> 34S001_AE/SAE/CM_Report_202605062125.xlsx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3.2 内容范围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数据范围：</w:t>
      </w:r>
      <w:r>
        <w:rPr>
          <w:rFonts w:eastAsia="等线" w:ascii="Arial" w:cs="Arial" w:hAnsi="Arial"/>
          <w:sz w:val="22"/>
        </w:rPr>
        <w:t xml:space="preserve"> 当前访视、Step 2 锁定后的 AE + SAE + CM 三张表（demo 文案：含 3 张结构化表）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Excel 建议结构（实现参考）：</w:t>
      </w:r>
    </w:p>
    <w:p>
      <w:pPr>
        <w:spacing w:before="120" w:after="120" w:line="288" w:lineRule="auto"/>
        <w:ind w:left="0"/>
      </w:pPr>
      <w:r>
        <w:object>
          <v:shape id="_x0000_i1034" style="width:414pt;height:75pt;mso-width-percent:0;mso-height-percent:0;mso-width-percent:0;mso-height-percent:0" type="#_x0000_t75" o:ole="">
            <v:imagedata r:id="rId19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PDF 建议内容：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 / 受试者 / 访视 / 中心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AE 汇总表（打印友好）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附录：未关闭质疑摘要</w:t>
      </w:r>
      <w:r>
        <w:rPr>
          <w:rFonts w:eastAsia="等线" w:ascii="Arial" w:cs="Arial" w:hAnsi="Arial"/>
          <w:sz w:val="22"/>
        </w:rPr>
        <w:t>（Case / 访视 / 行 / 最新一条）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签字栏占位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3.3 导出后行为（Demo）</w:t>
      </w:r>
      <w:bookmarkEnd w:id="2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Toast：已生成 {filename}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Phase 2：</w:t>
      </w:r>
      <w:r>
        <w:rPr>
          <w:rFonts w:eastAsia="等线" w:ascii="Arial" w:cs="Arial" w:hAnsi="Arial"/>
          <w:sz w:val="22"/>
        </w:rPr>
        <w:t xml:space="preserve"> 浏览器下载 + 归档至导出文件管理 + 审计日志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五、验收标准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AC-1 · 导出页</w:t>
      </w:r>
      <w:bookmarkEnd w:id="31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锁定后进入 Step 3，展示 Excel/CSV 两卡片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默认或选中 Excel，预览文件名正确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AC-2 · 下载</w:t>
      </w:r>
      <w:bookmarkEnd w:id="32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点击下载 → toast 含正确文件名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PRD4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一、产品背景与目标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1.1 业务背景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Medix 各业务场景在流程末端均会生成</w:t>
      </w:r>
      <w:r>
        <w:rPr>
          <w:rFonts w:eastAsia="等线" w:ascii="Arial" w:cs="Arial" w:hAnsi="Arial"/>
          <w:b w:val="true"/>
          <w:sz w:val="22"/>
        </w:rPr>
        <w:t>结构化导出物</w:t>
      </w:r>
      <w:r>
        <w:rPr>
          <w:rFonts w:eastAsia="等线" w:ascii="Arial" w:cs="Arial" w:hAnsi="Arial"/>
          <w:sz w:val="22"/>
        </w:rPr>
        <w:t xml:space="preserve">（Excel / CSV / Word 等），用于 EDC 录入、申办方复核、中心归档与稽查追溯。当前 Demo 中这些导出多以 </w:t>
      </w:r>
      <w:r>
        <w:rPr>
          <w:rFonts w:eastAsia="等线" w:ascii="Arial" w:cs="Arial" w:hAnsi="Arial"/>
          <w:b w:val="true"/>
          <w:sz w:val="22"/>
        </w:rPr>
        <w:t>toast 模拟下载</w:t>
      </w:r>
      <w:r>
        <w:rPr>
          <w:rFonts w:eastAsia="等线" w:ascii="Arial" w:cs="Arial" w:hAnsi="Arial"/>
          <w:sz w:val="22"/>
        </w:rPr>
        <w:t>，文件</w:t>
      </w:r>
      <w:r>
        <w:rPr>
          <w:rFonts w:eastAsia="等线" w:ascii="Arial" w:cs="Arial" w:hAnsi="Arial"/>
          <w:b w:val="true"/>
          <w:sz w:val="22"/>
        </w:rPr>
        <w:t>未统一登记、检索与权限管控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临床运营常见诉求：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CRC 需要按受试者 / 访视快速找到「上次导出的 AE 报告」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CRA / QA 需要核查「谁在何时导出了哪一版 EVF」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 需要项目级导出统计与过期清理策略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1.2 产品目标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</w:t>
      </w:r>
      <w:r>
        <w:rPr>
          <w:rFonts w:eastAsia="等线" w:ascii="Arial" w:cs="Arial" w:hAnsi="Arial"/>
          <w:b w:val="true"/>
          <w:sz w:val="22"/>
        </w:rPr>
        <w:t>跨场景导出文件管理中心</w:t>
      </w:r>
      <w:r>
        <w:rPr>
          <w:rFonts w:eastAsia="等线" w:ascii="Arial" w:cs="Arial" w:hAnsi="Arial"/>
          <w:sz w:val="22"/>
        </w:rPr>
        <w:t>，实现：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自动登记</w:t>
      </w:r>
      <w:r>
        <w:rPr>
          <w:rFonts w:eastAsia="等线" w:ascii="Arial" w:cs="Arial" w:hAnsi="Arial"/>
          <w:sz w:val="22"/>
        </w:rPr>
        <w:t>：各场景点击「下载 / 导出」后，写入统一文件台账（非仅浏览器下载）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统一检索</w:t>
      </w:r>
      <w:r>
        <w:rPr>
          <w:rFonts w:eastAsia="等线" w:ascii="Arial" w:cs="Arial" w:hAnsi="Arial"/>
          <w:sz w:val="22"/>
        </w:rPr>
        <w:t>：按项目、场景、Case、文件类型、时间、操作人筛选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受控访问</w:t>
      </w:r>
      <w:r>
        <w:rPr>
          <w:rFonts w:eastAsia="等线" w:ascii="Arial" w:cs="Arial" w:hAnsi="Arial"/>
          <w:sz w:val="22"/>
        </w:rPr>
        <w:t>：角色 + Site 数据权限决定可见与可下载范围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审计闭环</w:t>
      </w:r>
      <w:r>
        <w:rPr>
          <w:rFonts w:eastAsia="等线" w:ascii="Arial" w:cs="Arial" w:hAnsi="Arial"/>
          <w:sz w:val="22"/>
        </w:rPr>
        <w:t>：与「操作审计日志」联动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1.3 与场景 PRD 的分工</w:t>
      </w:r>
      <w:bookmarkEnd w:id="37"/>
    </w:p>
    <w:p>
      <w:pPr>
        <w:spacing w:before="120" w:after="120" w:line="288" w:lineRule="auto"/>
        <w:ind w:left="0"/>
      </w:pPr>
      <w:r>
        <w:object>
          <v:shape id="_x0000_i1035" style="width:414pt;height:192pt;mso-width-percent:0;mso-height-percent:0;mso-width-percent:0;mso-height-percent:0" type="#_x0000_t75" o:ole="">
            <v:imagedata r:id="rId24" o:title=""/>
          </v:shape>
          <o:OLEObject DrawAspect="Icon" ObjectID="_1718471229" ProgID="Excel.Sheet.12" ShapeID="_x0000_i1035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1.4 范围说明</w:t>
      </w:r>
      <w:bookmarkEnd w:id="3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侧栏/顶部？入口「导出文件管理」列表页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导出事件自动写入台账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 / 搜索 / 预览信息 / 再次下载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文件详情抽屉（来源场景、关联 Case、格式、大小、导出人、状态）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角色权限与 Site 隔离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二、信息架构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2.1 入口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Medix AI 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核心场景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│ ├── 入排规则配置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│ ├── 入排智能比对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│ ├── AE/SAE/CM 工作台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└── 文档智能审核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 合规审计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├── 操作审计日志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└── </w:t>
      </w:r>
      <w:r>
        <w:rPr>
          <w:rFonts w:eastAsia="等线" w:ascii="Arial" w:cs="Arial" w:hAnsi="Arial"/>
          <w:b w:val="true"/>
          <w:sz w:val="22"/>
        </w:rPr>
        <w:t>导出文件管理</w:t>
      </w:r>
      <w:r>
        <w:rPr>
          <w:rFonts w:eastAsia="等线" w:ascii="Arial" w:cs="Arial" w:hAnsi="Arial"/>
          <w:sz w:val="22"/>
        </w:rPr>
        <w:t xml:space="preserve">    ← 本 PRD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2.2 页面结构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导出文件管理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筛选：场景 ▾ | 文件类型 ▾ | 格式 ▾ | 状态 ▾ | 时间范围 | 🔍 搜索文件名/Case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□ 文件名 场景 Case 访视 格式 大小 导出人 时间 状态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□ 34S001_AE_Report.xlsx AE/SAE/CM 34S001 W12 xlsx 1.2M 张敏 06-09 有效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□ 35S001_EVF.pdf 入排比对 35S001 V1 pdf 0.6M 张敏 06-08 有效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□ 35S001_W1-W12.xlsx 文档审核 35S001 W1-12 xlsx 2.4M 王伟 06-07 有效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 128 条 ‹ 1 2 3 … 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点击行 → 右侧</w:t>
      </w:r>
      <w:r>
        <w:rPr>
          <w:rFonts w:eastAsia="等线" w:ascii="Arial" w:cs="Arial" w:hAnsi="Arial"/>
          <w:b w:val="true"/>
          <w:sz w:val="22"/>
        </w:rPr>
        <w:t>详情抽屉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三、列表页交互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3.1 筛选与搜索</w:t>
      </w:r>
      <w:bookmarkEnd w:id="43"/>
    </w:p>
    <w:p>
      <w:pPr>
        <w:spacing w:before="120" w:after="120" w:line="288" w:lineRule="auto"/>
        <w:ind w:left="0"/>
      </w:pPr>
      <w:r>
        <w:object>
          <v:shape id="_x0000_i1036" style="width:414pt;height:168pt;mso-width-percent:0;mso-height-percent:0;mso-width-percent:0;mso-height-percent:0" type="#_x0000_t75" o:ole="">
            <v:imagedata r:id="rId26" o:title=""/>
          </v:shape>
          <o:OLEObject DrawAspect="Icon" ObjectID="_1718471230" ProgID="Excel.Sheet.12" ShapeID="_x0000_i1036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4.2 列表列</w:t>
      </w:r>
      <w:bookmarkEnd w:id="44"/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28" o:title=""/>
          </v:shape>
          <o:OLEObject DrawAspect="Icon" ObjectID="_1718471231" ProgID="Excel.Sheet.12" ShapeID="_x0000_i1037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六、与操作审计日志联动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6.1 写入时机</w:t>
      </w:r>
      <w:bookmarkEnd w:id="46"/>
    </w:p>
    <w:p>
      <w:pPr>
        <w:spacing w:before="120" w:after="120" w:line="288" w:lineRule="auto"/>
        <w:ind w:left="0"/>
      </w:pPr>
      <w:r>
        <w:object>
          <v:shape id="_x0000_i1038" style="width:414pt;height:56pt;mso-width-percent:0;mso-height-percent:0;mso-width-percent:0;mso-height-percent:0" type="#_x0000_t75" o:ole="">
            <v:imagedata r:id="rId30" o:title=""/>
          </v:shape>
          <o:OLEObject DrawAspect="Icon" ObjectID="_1718471232" ProgID="Excel.Sheet.12" ShapeID="_x0000_i1038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29557">
    <w:lvl>
      <w:numFmt w:val="bullet"/>
      <w:suff w:val="tab"/>
      <w:lvlText w:val="•"/>
      <w:rPr>
        <w:color w:val="3370ff"/>
      </w:rPr>
    </w:lvl>
  </w:abstractNum>
  <w:abstractNum w:abstractNumId="129558">
    <w:lvl>
      <w:numFmt w:val="bullet"/>
      <w:suff w:val="tab"/>
      <w:lvlText w:val="•"/>
      <w:rPr>
        <w:color w:val="3370ff"/>
      </w:rPr>
    </w:lvl>
  </w:abstractNum>
  <w:abstractNum w:abstractNumId="129559">
    <w:lvl>
      <w:numFmt w:val="bullet"/>
      <w:suff w:val="tab"/>
      <w:lvlText w:val="•"/>
      <w:rPr>
        <w:color w:val="3370ff"/>
      </w:rPr>
    </w:lvl>
  </w:abstractNum>
  <w:abstractNum w:abstractNumId="129560">
    <w:lvl>
      <w:numFmt w:val="bullet"/>
      <w:suff w:val="tab"/>
      <w:lvlText w:val="•"/>
      <w:rPr>
        <w:color w:val="3370ff"/>
      </w:rPr>
    </w:lvl>
  </w:abstractNum>
  <w:abstractNum w:abstractNumId="129561">
    <w:lvl>
      <w:numFmt w:val="bullet"/>
      <w:suff w:val="tab"/>
      <w:lvlText w:val="•"/>
      <w:rPr>
        <w:color w:val="3370ff"/>
      </w:rPr>
    </w:lvl>
  </w:abstractNum>
  <w:abstractNum w:abstractNumId="129562">
    <w:lvl>
      <w:numFmt w:val="bullet"/>
      <w:suff w:val="tab"/>
      <w:lvlText w:val="•"/>
      <w:rPr>
        <w:color w:val="3370ff"/>
      </w:rPr>
    </w:lvl>
  </w:abstractNum>
  <w:abstractNum w:abstractNumId="129563">
    <w:lvl>
      <w:numFmt w:val="bullet"/>
      <w:suff w:val="tab"/>
      <w:lvlText w:val="•"/>
      <w:rPr>
        <w:color w:val="3370ff"/>
      </w:rPr>
    </w:lvl>
  </w:abstractNum>
  <w:abstractNum w:abstractNumId="129564">
    <w:lvl>
      <w:numFmt w:val="bullet"/>
      <w:suff w:val="tab"/>
      <w:lvlText w:val="•"/>
      <w:rPr>
        <w:color w:val="3370ff"/>
      </w:rPr>
    </w:lvl>
  </w:abstractNum>
  <w:abstractNum w:abstractNumId="129565">
    <w:lvl>
      <w:numFmt w:val="bullet"/>
      <w:suff w:val="tab"/>
      <w:lvlText w:val="•"/>
      <w:rPr>
        <w:color w:val="3370ff"/>
      </w:rPr>
    </w:lvl>
  </w:abstractNum>
  <w:abstractNum w:abstractNumId="129566">
    <w:lvl>
      <w:numFmt w:val="bullet"/>
      <w:suff w:val="tab"/>
      <w:lvlText w:val="•"/>
      <w:rPr>
        <w:color w:val="3370ff"/>
      </w:rPr>
    </w:lvl>
  </w:abstractNum>
  <w:abstractNum w:abstractNumId="129567">
    <w:lvl>
      <w:start w:val="1"/>
      <w:numFmt w:val="decimal"/>
      <w:suff w:val="tab"/>
      <w:lvlText w:val="%1."/>
      <w:rPr>
        <w:color w:val="3370ff"/>
      </w:rPr>
    </w:lvl>
  </w:abstractNum>
  <w:abstractNum w:abstractNumId="129568">
    <w:lvl>
      <w:start w:val="2"/>
      <w:numFmt w:val="decimal"/>
      <w:suff w:val="tab"/>
      <w:lvlText w:val="%1."/>
      <w:rPr>
        <w:color w:val="3370ff"/>
      </w:rPr>
    </w:lvl>
  </w:abstractNum>
  <w:abstractNum w:abstractNumId="129569">
    <w:lvl>
      <w:start w:val="1"/>
      <w:numFmt w:val="decimal"/>
      <w:suff w:val="tab"/>
      <w:lvlText w:val="%1."/>
      <w:rPr>
        <w:color w:val="3370ff"/>
      </w:rPr>
    </w:lvl>
  </w:abstractNum>
  <w:abstractNum w:abstractNumId="129570">
    <w:lvl>
      <w:numFmt w:val="bullet"/>
      <w:suff w:val="tab"/>
      <w:lvlText w:val="•"/>
      <w:rPr>
        <w:color w:val="3370ff"/>
      </w:rPr>
    </w:lvl>
  </w:abstractNum>
  <w:abstractNum w:abstractNumId="129571">
    <w:lvl>
      <w:numFmt w:val="bullet"/>
      <w:suff w:val="tab"/>
      <w:lvlText w:val="•"/>
      <w:rPr>
        <w:color w:val="3370ff"/>
      </w:rPr>
    </w:lvl>
  </w:abstractNum>
  <w:abstractNum w:abstractNumId="129572">
    <w:lvl>
      <w:numFmt w:val="bullet"/>
      <w:suff w:val="tab"/>
      <w:lvlText w:val="•"/>
      <w:rPr>
        <w:color w:val="3370ff"/>
      </w:rPr>
    </w:lvl>
  </w:abstractNum>
  <w:abstractNum w:abstractNumId="129573">
    <w:lvl>
      <w:numFmt w:val="bullet"/>
      <w:suff w:val="tab"/>
      <w:lvlText w:val="•"/>
      <w:rPr>
        <w:color w:val="3370ff"/>
      </w:rPr>
    </w:lvl>
  </w:abstractNum>
  <w:abstractNum w:abstractNumId="129574">
    <w:lvl>
      <w:numFmt w:val="bullet"/>
      <w:suff w:val="tab"/>
      <w:lvlText w:val="•"/>
      <w:rPr>
        <w:color w:val="3370ff"/>
      </w:rPr>
    </w:lvl>
  </w:abstractNum>
  <w:abstractNum w:abstractNumId="129575">
    <w:lvl>
      <w:numFmt w:val="bullet"/>
      <w:suff w:val="tab"/>
      <w:lvlText w:val="•"/>
      <w:rPr>
        <w:color w:val="3370ff"/>
      </w:rPr>
    </w:lvl>
  </w:abstractNum>
  <w:abstractNum w:abstractNumId="129576">
    <w:lvl>
      <w:numFmt w:val="bullet"/>
      <w:suff w:val="tab"/>
      <w:lvlText w:val="•"/>
      <w:rPr>
        <w:color w:val="3370ff"/>
      </w:rPr>
    </w:lvl>
  </w:abstractNum>
  <w:abstractNum w:abstractNumId="129577">
    <w:lvl>
      <w:numFmt w:val="bullet"/>
      <w:suff w:val="tab"/>
      <w:lvlText w:val="•"/>
      <w:rPr>
        <w:color w:val="3370ff"/>
      </w:rPr>
    </w:lvl>
  </w:abstractNum>
  <w:abstractNum w:abstractNumId="129578">
    <w:lvl>
      <w:numFmt w:val="bullet"/>
      <w:suff w:val="tab"/>
      <w:lvlText w:val="•"/>
      <w:rPr>
        <w:color w:val="3370ff"/>
      </w:rPr>
    </w:lvl>
  </w:abstractNum>
  <w:abstractNum w:abstractNumId="129579">
    <w:lvl>
      <w:numFmt w:val="bullet"/>
      <w:suff w:val="tab"/>
      <w:lvlText w:val="•"/>
      <w:rPr>
        <w:color w:val="3370ff"/>
      </w:rPr>
    </w:lvl>
  </w:abstractNum>
  <w:abstractNum w:abstractNumId="129580">
    <w:lvl>
      <w:start w:val="1"/>
      <w:numFmt w:val="decimal"/>
      <w:suff w:val="tab"/>
      <w:lvlText w:val="%1."/>
      <w:rPr>
        <w:color w:val="3370ff"/>
      </w:rPr>
    </w:lvl>
  </w:abstractNum>
  <w:abstractNum w:abstractNumId="129581">
    <w:lvl>
      <w:start w:val="2"/>
      <w:numFmt w:val="decimal"/>
      <w:suff w:val="tab"/>
      <w:lvlText w:val="%1."/>
      <w:rPr>
        <w:color w:val="3370ff"/>
      </w:rPr>
    </w:lvl>
  </w:abstractNum>
  <w:abstractNum w:abstractNumId="129582">
    <w:lvl>
      <w:start w:val="1"/>
      <w:numFmt w:val="decimal"/>
      <w:suff w:val="tab"/>
      <w:lvlText w:val="%1."/>
      <w:rPr>
        <w:color w:val="3370ff"/>
      </w:rPr>
    </w:lvl>
  </w:abstractNum>
  <w:abstractNum w:abstractNumId="129583">
    <w:lvl>
      <w:numFmt w:val="bullet"/>
      <w:suff w:val="tab"/>
      <w:lvlText w:val="•"/>
      <w:rPr>
        <w:color w:val="3370ff"/>
      </w:rPr>
    </w:lvl>
  </w:abstractNum>
  <w:abstractNum w:abstractNumId="129584">
    <w:lvl>
      <w:numFmt w:val="bullet"/>
      <w:suff w:val="tab"/>
      <w:lvlText w:val="•"/>
      <w:rPr>
        <w:color w:val="3370ff"/>
      </w:rPr>
    </w:lvl>
  </w:abstractNum>
  <w:abstractNum w:abstractNumId="129585">
    <w:lvl>
      <w:numFmt w:val="bullet"/>
      <w:suff w:val="tab"/>
      <w:lvlText w:val="•"/>
      <w:rPr>
        <w:color w:val="3370ff"/>
      </w:rPr>
    </w:lvl>
  </w:abstractNum>
  <w:abstractNum w:abstractNumId="129586">
    <w:lvl>
      <w:start w:val="1"/>
      <w:numFmt w:val="decimal"/>
      <w:suff w:val="tab"/>
      <w:lvlText w:val="%1."/>
      <w:rPr>
        <w:color w:val="3370ff"/>
      </w:rPr>
    </w:lvl>
  </w:abstractNum>
  <w:abstractNum w:abstractNumId="129587">
    <w:lvl>
      <w:start w:val="2"/>
      <w:numFmt w:val="decimal"/>
      <w:suff w:val="tab"/>
      <w:lvlText w:val="%1."/>
      <w:rPr>
        <w:color w:val="3370ff"/>
      </w:rPr>
    </w:lvl>
  </w:abstractNum>
  <w:abstractNum w:abstractNumId="129588">
    <w:lvl>
      <w:start w:val="3"/>
      <w:numFmt w:val="decimal"/>
      <w:suff w:val="tab"/>
      <w:lvlText w:val="%1."/>
      <w:rPr>
        <w:color w:val="3370ff"/>
      </w:rPr>
    </w:lvl>
  </w:abstractNum>
  <w:abstractNum w:abstractNumId="129589">
    <w:lvl>
      <w:start w:val="4"/>
      <w:numFmt w:val="decimal"/>
      <w:suff w:val="tab"/>
      <w:lvlText w:val="%1."/>
      <w:rPr>
        <w:color w:val="3370ff"/>
      </w:rPr>
    </w:lvl>
  </w:abstractNum>
  <w:abstractNum w:abstractNumId="129590">
    <w:lvl>
      <w:numFmt w:val="bullet"/>
      <w:suff w:val="tab"/>
      <w:lvlText w:val="•"/>
      <w:rPr>
        <w:color w:val="3370ff"/>
      </w:rPr>
    </w:lvl>
  </w:abstractNum>
  <w:abstractNum w:abstractNumId="129591">
    <w:lvl>
      <w:numFmt w:val="bullet"/>
      <w:suff w:val="tab"/>
      <w:lvlText w:val="•"/>
      <w:rPr>
        <w:color w:val="3370ff"/>
      </w:rPr>
    </w:lvl>
  </w:abstractNum>
  <w:abstractNum w:abstractNumId="129592">
    <w:lvl>
      <w:numFmt w:val="bullet"/>
      <w:suff w:val="tab"/>
      <w:lvlText w:val="•"/>
      <w:rPr>
        <w:color w:val="3370ff"/>
      </w:rPr>
    </w:lvl>
  </w:abstractNum>
  <w:abstractNum w:abstractNumId="129593">
    <w:lvl>
      <w:numFmt w:val="bullet"/>
      <w:suff w:val="tab"/>
      <w:lvlText w:val="•"/>
      <w:rPr>
        <w:color w:val="3370ff"/>
      </w:rPr>
    </w:lvl>
  </w:abstractNum>
  <w:abstractNum w:abstractNumId="129594">
    <w:lvl>
      <w:numFmt w:val="bullet"/>
      <w:suff w:val="tab"/>
      <w:lvlText w:val="•"/>
      <w:rPr>
        <w:color w:val="3370ff"/>
      </w:rPr>
    </w:lvl>
  </w:abstractNum>
  <w:abstractNum w:abstractNumId="129595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29557"/>
  </w:num>
  <w:num w:numId="2">
    <w:abstractNumId w:val="129558"/>
  </w:num>
  <w:num w:numId="3">
    <w:abstractNumId w:val="129559"/>
  </w:num>
  <w:num w:numId="4">
    <w:abstractNumId w:val="129560"/>
  </w:num>
  <w:num w:numId="5">
    <w:abstractNumId w:val="129561"/>
  </w:num>
  <w:num w:numId="6">
    <w:abstractNumId w:val="129562"/>
  </w:num>
  <w:num w:numId="7">
    <w:abstractNumId w:val="129563"/>
  </w:num>
  <w:num w:numId="8">
    <w:abstractNumId w:val="129564"/>
  </w:num>
  <w:num w:numId="9">
    <w:abstractNumId w:val="129565"/>
  </w:num>
  <w:num w:numId="10">
    <w:abstractNumId w:val="129566"/>
  </w:num>
  <w:num w:numId="11">
    <w:abstractNumId w:val="129567"/>
  </w:num>
  <w:num w:numId="12">
    <w:abstractNumId w:val="129568"/>
  </w:num>
  <w:num w:numId="13">
    <w:abstractNumId w:val="129569"/>
  </w:num>
  <w:num w:numId="14">
    <w:abstractNumId w:val="129570"/>
  </w:num>
  <w:num w:numId="15">
    <w:abstractNumId w:val="129571"/>
  </w:num>
  <w:num w:numId="16">
    <w:abstractNumId w:val="129572"/>
  </w:num>
  <w:num w:numId="17">
    <w:abstractNumId w:val="129573"/>
  </w:num>
  <w:num w:numId="18">
    <w:abstractNumId w:val="129574"/>
  </w:num>
  <w:num w:numId="19">
    <w:abstractNumId w:val="129575"/>
  </w:num>
  <w:num w:numId="20">
    <w:abstractNumId w:val="129576"/>
  </w:num>
  <w:num w:numId="21">
    <w:abstractNumId w:val="129577"/>
  </w:num>
  <w:num w:numId="22">
    <w:abstractNumId w:val="129578"/>
  </w:num>
  <w:num w:numId="23">
    <w:abstractNumId w:val="129579"/>
  </w:num>
  <w:num w:numId="24">
    <w:abstractNumId w:val="129580"/>
  </w:num>
  <w:num w:numId="25">
    <w:abstractNumId w:val="129581"/>
  </w:num>
  <w:num w:numId="26">
    <w:abstractNumId w:val="129582"/>
  </w:num>
  <w:num w:numId="27">
    <w:abstractNumId w:val="129583"/>
  </w:num>
  <w:num w:numId="28">
    <w:abstractNumId w:val="129584"/>
  </w:num>
  <w:num w:numId="29">
    <w:abstractNumId w:val="129585"/>
  </w:num>
  <w:num w:numId="30">
    <w:abstractNumId w:val="129586"/>
  </w:num>
  <w:num w:numId="31">
    <w:abstractNumId w:val="129587"/>
  </w:num>
  <w:num w:numId="32">
    <w:abstractNumId w:val="129588"/>
  </w:num>
  <w:num w:numId="33">
    <w:abstractNumId w:val="129589"/>
  </w:num>
  <w:num w:numId="34">
    <w:abstractNumId w:val="129590"/>
  </w:num>
  <w:num w:numId="35">
    <w:abstractNumId w:val="129591"/>
  </w:num>
  <w:num w:numId="36">
    <w:abstractNumId w:val="129592"/>
  </w:num>
  <w:num w:numId="37">
    <w:abstractNumId w:val="129593"/>
  </w:num>
  <w:num w:numId="38">
    <w:abstractNumId w:val="129594"/>
  </w:num>
  <w:num w:numId="39">
    <w:abstractNumId w:val="1295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embeddings/Microsoft_Excel_Worksheet7.xlsx" Type="http://schemas.openxmlformats.org/officeDocument/2006/relationships/package"/><Relationship Id="rId17" Target="media/image6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7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8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embeddings/Microsoft_Excel_Worksheet11.xlsx" Type="http://schemas.openxmlformats.org/officeDocument/2006/relationships/package"/><Relationship Id="rId24" Target="media/image9.png" Type="http://schemas.openxmlformats.org/officeDocument/2006/relationships/image"/><Relationship Id="rId25" Target="embeddings/Microsoft_Excel_Worksheet12.xlsx" Type="http://schemas.openxmlformats.org/officeDocument/2006/relationships/package"/><Relationship Id="rId26" Target="media/image10.png" Type="http://schemas.openxmlformats.org/officeDocument/2006/relationships/image"/><Relationship Id="rId27" Target="embeddings/Microsoft_Excel_Worksheet13.xlsx" Type="http://schemas.openxmlformats.org/officeDocument/2006/relationships/package"/><Relationship Id="rId28" Target="media/image11.png" Type="http://schemas.openxmlformats.org/officeDocument/2006/relationships/image"/><Relationship Id="rId29" Target="embeddings/Microsoft_Excel_Worksheet14.xlsx" Type="http://schemas.openxmlformats.org/officeDocument/2006/relationships/package"/><Relationship Id="rId3" Target="footer1.xml" Type="http://schemas.openxmlformats.org/officeDocument/2006/relationships/footer"/><Relationship Id="rId30" Target="media/image12.png" Type="http://schemas.openxmlformats.org/officeDocument/2006/relationships/image"/><Relationship Id="rId31" Target="header1.xml" Type="http://schemas.openxmlformats.org/officeDocument/2006/relationships/head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1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2026-07-07T02:24:42Z</dcterms:created>
  <dc:creator>Apache POI</dc:creator>
</cp:coreProperties>
</file>