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BITGET rVUE</w:t>
      </w:r>
    </w:p>
    <w:p>
      <w:pPr>
        <w:jc w:val="center"/>
      </w:pPr>
      <w:r>
        <w:rPr>
          <w:b/>
          <w:sz w:val="40"/>
        </w:rPr>
        <w:t>B + r MONOGRAM — REFINED VECTOR SPECIFICATION</w:t>
      </w:r>
    </w:p>
    <w:p>
      <w:pPr>
        <w:jc w:val="center"/>
      </w:pPr>
      <w:r>
        <w:rPr>
          <w:i/>
        </w:rPr>
        <w:t>Selected direction: top-right concept from the exploration sheet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904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top_right_conc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04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Design Objective</w:t>
      </w:r>
    </w:p>
    <w:p>
      <w:r>
        <w:t>Refine the selected top-right B+r direction into a clean, continuous, monolithic geometric symbol. The B and r are not separate characters; they are expressed as one engineered structure through shared geometry and deliberate negative space.</w:t>
      </w:r>
    </w:p>
    <w:p>
      <w:pPr>
        <w:pStyle w:val="Heading1"/>
      </w:pPr>
      <w:r>
        <w:t>2. Core Construction Rules</w:t>
      </w:r>
    </w:p>
    <w:p>
      <w:pPr>
        <w:pStyle w:val="ListBullet"/>
      </w:pPr>
      <w:r>
        <w:t>Rigid vertical stem is the primary structural anchor.</w:t>
      </w:r>
    </w:p>
    <w:p>
      <w:pPr>
        <w:pStyle w:val="ListBullet"/>
      </w:pPr>
      <w:r>
        <w:t>Outer geometry is continuous and balanced rather than two letters placed together.</w:t>
      </w:r>
    </w:p>
    <w:p>
      <w:pPr>
        <w:pStyle w:val="ListBullet"/>
      </w:pPr>
      <w:r>
        <w:t>Negative-space cuts reveal the r relationship without drawing a literal lowercase r.</w:t>
      </w:r>
    </w:p>
    <w:p>
      <w:pPr>
        <w:pStyle w:val="ListBullet"/>
      </w:pPr>
      <w:r>
        <w:t>Use consistent stroke/shape logic and mathematically controlled proportions.</w:t>
      </w:r>
    </w:p>
    <w:p>
      <w:pPr>
        <w:pStyle w:val="ListBullet"/>
      </w:pPr>
      <w:r>
        <w:t>The silhouette must remain recognizable at favicon scale.</w:t>
      </w:r>
    </w:p>
    <w:p>
      <w:pPr>
        <w:pStyle w:val="ListBullet"/>
      </w:pPr>
      <w:r>
        <w:t>No decorative elements, gradients, shadows, 3D treatment, mockups, or stock-chart symbolism.</w:t>
      </w:r>
    </w:p>
    <w:p>
      <w:pPr>
        <w:pStyle w:val="Heading1"/>
      </w:pPr>
      <w:r>
        <w:t>3. Color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Focal accent</w:t>
            </w:r>
          </w:p>
        </w:tc>
        <w:tc>
          <w:tcPr>
            <w:tcW w:type="dxa" w:w="5112"/>
          </w:tcPr>
          <w:p>
            <w:r>
              <w:t>#00F0FF</w:t>
            </w:r>
          </w:p>
        </w:tc>
      </w:tr>
      <w:tr>
        <w:tc>
          <w:tcPr>
            <w:tcW w:type="dxa" w:w="5112"/>
          </w:tcPr>
          <w:p>
            <w:r>
              <w:t>Background</w:t>
            </w:r>
          </w:p>
        </w:tc>
        <w:tc>
          <w:tcPr>
            <w:tcW w:type="dxa" w:w="5112"/>
          </w:tcPr>
          <w:p>
            <w:r>
              <w:t>#080A0A</w:t>
            </w:r>
          </w:p>
        </w:tc>
      </w:tr>
      <w:tr>
        <w:tc>
          <w:tcPr>
            <w:tcW w:type="dxa" w:w="5112"/>
          </w:tcPr>
          <w:p>
            <w:r>
              <w:t>Usage</w:t>
            </w:r>
          </w:p>
        </w:tc>
        <w:tc>
          <w:tcPr>
            <w:tcW w:type="dxa" w:w="5112"/>
          </w:tcPr>
          <w:p>
            <w:r>
              <w:t>Cyan symbol on graphite; reverse only when required by the application</w:t>
            </w:r>
          </w:p>
        </w:tc>
      </w:tr>
    </w:tbl>
    <w:p>
      <w:pPr>
        <w:pStyle w:val="Heading1"/>
      </w:pPr>
      <w:r>
        <w:t>4. Vector Deliverable</w:t>
      </w:r>
    </w:p>
    <w:p>
      <w:r>
        <w:t>The accompanying SVG uses scalable vector geometry and a single visual system. It is intended as the clean master direction for subsequent refinement, not as a final production identity until the geometry is reviewed at small and large sizes.</w:t>
      </w:r>
    </w:p>
    <w:p>
      <w:r>
        <w:t>SVG source path:</w:t>
      </w:r>
    </w:p>
    <w:p>
      <w:pPr/>
      <w:r>
        <w:rPr>
          <w:rFonts w:ascii="Consolas" w:hAnsi="Consolas"/>
          <w:sz w:val="14"/>
        </w:rPr>
        <w:t>&lt;svg xmlns="http://www.w3.org/2000/svg" viewBox="0 0 512 512"&gt;</w:t>
        <w:br/>
        <w:t xml:space="preserve">  &lt;rect width="512" height="512" fill="#080A0A"/&gt;</w:t>
        <w:br/>
        <w:t xml:space="preserve">  &lt;path fill="#00F0FF" fill-rule="evenodd" d="</w:t>
        <w:br/>
        <w:t xml:space="preserve">    M118 72</w:t>
        <w:br/>
        <w:t xml:space="preserve">    H300</w:t>
        <w:br/>
        <w:t xml:space="preserve">    C365 72 406 108 406 164</w:t>
        <w:br/>
        <w:t xml:space="preserve">    C406 194 391 217 367 231</w:t>
        <w:br/>
        <w:t xml:space="preserve">    C398 245 418 271 418 306</w:t>
        <w:br/>
        <w:t xml:space="preserve">    C418 371 369 410 300 410</w:t>
        <w:br/>
        <w:t xml:space="preserve">    H118 Z</w:t>
        <w:br/>
        <w:br/>
        <w:t xml:space="preserve">    M190 134</w:t>
        <w:br/>
        <w:t xml:space="preserve">    V215</w:t>
        <w:br/>
        <w:t xml:space="preserve">    H286</w:t>
        <w:br/>
        <w:t xml:space="preserve">    C314 215 331 201 331 175</w:t>
        <w:br/>
        <w:t xml:space="preserve">    C331 148 313 134 284 134 Z</w:t>
        <w:br/>
        <w:br/>
        <w:t xml:space="preserve">    M190 276</w:t>
        <w:br/>
        <w:t xml:space="preserve">    V348</w:t>
        <w:br/>
        <w:t xml:space="preserve">    H291</w:t>
        <w:br/>
        <w:t xml:space="preserve">    C321 348 340 333 340 305</w:t>
        <w:br/>
        <w:t xml:space="preserve">    C340 276 320 261 291 261</w:t>
        <w:br/>
        <w:t xml:space="preserve">    H225</w:t>
        <w:br/>
        <w:t xml:space="preserve">    L286 228</w:t>
        <w:br/>
        <w:t xml:space="preserve">    L256 205</w:t>
        <w:br/>
        <w:t xml:space="preserve">    L190 241 Z</w:t>
        <w:br/>
        <w:br/>
        <w:t xml:space="preserve">    M286 228</w:t>
        <w:br/>
        <w:t xml:space="preserve">    L343 196</w:t>
        <w:br/>
        <w:t xml:space="preserve">    C354 190 364 192 372 199</w:t>
        <w:br/>
        <w:t xml:space="preserve">    L399 225</w:t>
        <w:br/>
        <w:t xml:space="preserve">    L348 254</w:t>
        <w:br/>
        <w:t xml:space="preserve">    C335 261 321 263 304 261</w:t>
        <w:br/>
        <w:t xml:space="preserve">    H225 Z</w:t>
        <w:br/>
        <w:t xml:space="preserve">  "/&gt;</w:t>
        <w:br/>
        <w:t>&lt;/svg&gt;</w:t>
      </w:r>
    </w:p>
    <w:p>
      <w:pPr>
        <w:pStyle w:val="Heading1"/>
      </w:pPr>
      <w:r>
        <w:t>5. Favicon Specification</w:t>
      </w:r>
    </w:p>
    <w:p>
      <w:r>
        <w:t>Use the monogram alone, with no wordmark. Recommended master export: 512×512 px, square canvas, graphite background (#080A0A), cyan symbol (#00F0FF). Generate 16×16, 32×32, 48×48 and 180×180 derivatives from the SVG master.</w:t>
      </w:r>
    </w:p>
    <w:p>
      <w:pPr>
        <w:pStyle w:val="Heading1"/>
      </w:pPr>
      <w:r>
        <w:t>6. Acceptance Test</w:t>
      </w:r>
    </w:p>
    <w:p>
      <w:pPr>
        <w:pStyle w:val="ListBullet"/>
      </w:pPr>
      <w:r>
        <w:t>At a glance, it reads as one proprietary geometric symbol.</w:t>
      </w:r>
    </w:p>
    <w:p>
      <w:pPr>
        <w:pStyle w:val="ListBullet"/>
      </w:pPr>
      <w:r>
        <w:t>The r is implied through negative space and structure, not inserted as a tiny glyph.</w:t>
      </w:r>
    </w:p>
    <w:p>
      <w:pPr>
        <w:pStyle w:val="ListBullet"/>
      </w:pPr>
      <w:r>
        <w:t>No component looks pasted onto another component.</w:t>
      </w:r>
    </w:p>
    <w:p>
      <w:pPr>
        <w:pStyle w:val="ListBullet"/>
      </w:pPr>
      <w:r>
        <w:t>The silhouette remains distinctive in monochrome.</w:t>
      </w:r>
    </w:p>
    <w:p>
      <w:pPr>
        <w:pStyle w:val="ListBullet"/>
      </w:pPr>
      <w:r>
        <w:t>The mark survives reduction to favicon size without losing its core geometry.</w:t>
      </w:r>
    </w:p>
    <w:p>
      <w:pPr>
        <w:pStyle w:val="Heading1"/>
      </w:pPr>
      <w:r>
        <w:t>7. Files Included</w:t>
      </w:r>
    </w:p>
    <w:p>
      <w:pPr>
        <w:pStyle w:val="ListBullet"/>
      </w:pPr>
      <w:r>
        <w:t>selected_top_right_concept.png — selected source direction</w:t>
      </w:r>
    </w:p>
    <w:p>
      <w:pPr>
        <w:pStyle w:val="ListBullet"/>
      </w:pPr>
      <w:r>
        <w:t>Bitget_rVue_monogram_refined.svg — scalable vector master</w:t>
      </w:r>
    </w:p>
    <w:p>
      <w:pPr>
        <w:pStyle w:val="ListBullet"/>
      </w:pPr>
      <w:r>
        <w:t>Bitget_rVue_favicon_512.png — favicon-ready raster export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