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36"/>
        </w:rPr>
        <w:t>轻量级医疗管理系统实验报告（一至四）</w:t>
      </w:r>
    </w:p>
    <w:p>
      <w:pPr>
        <w:jc w:val="center"/>
      </w:pPr>
      <w:r>
        <w:rPr>
          <w:rFonts w:ascii="宋体" w:hAnsi="宋体" w:eastAsia="宋体"/>
          <w:sz w:val="21"/>
        </w:rPr>
        <w:t>开发语言：C 语言 + EasyX 图形界面    数据结构：结构体 + 单向链表    数据保存：UTF-8 txt 文件</w:t>
      </w:r>
    </w:p>
    <w:p>
      <w:pPr>
        <w:pStyle w:val="Heading1"/>
      </w:pPr>
      <w:r>
        <w:t>目录</w:t>
      </w:r>
    </w:p>
    <w:p>
      <w:pPr>
        <w:spacing w:line="300" w:lineRule="auto"/>
        <w:ind w:firstLine="440"/>
      </w:pPr>
      <w:r>
        <w:rPr>
          <w:rFonts w:ascii="宋体" w:hAnsi="宋体" w:eastAsia="宋体"/>
          <w:sz w:val="22"/>
        </w:rPr>
        <w:t>一、系统概述</w:t>
      </w:r>
    </w:p>
    <w:p>
      <w:pPr>
        <w:spacing w:line="300" w:lineRule="auto"/>
        <w:ind w:firstLine="440"/>
      </w:pPr>
      <w:r>
        <w:rPr>
          <w:rFonts w:ascii="宋体" w:hAnsi="宋体" w:eastAsia="宋体"/>
          <w:sz w:val="22"/>
        </w:rPr>
        <w:t>二、一些约定</w:t>
      </w:r>
    </w:p>
    <w:p>
      <w:pPr>
        <w:spacing w:line="300" w:lineRule="auto"/>
        <w:ind w:firstLine="440"/>
      </w:pPr>
      <w:r>
        <w:rPr>
          <w:rFonts w:ascii="宋体" w:hAnsi="宋体" w:eastAsia="宋体"/>
          <w:sz w:val="22"/>
        </w:rPr>
        <w:t>三、具体功能实现</w:t>
      </w:r>
    </w:p>
    <w:p>
      <w:pPr>
        <w:spacing w:line="300" w:lineRule="auto"/>
        <w:ind w:firstLine="440"/>
      </w:pPr>
      <w:r>
        <w:rPr>
          <w:rFonts w:ascii="宋体" w:hAnsi="宋体" w:eastAsia="宋体"/>
          <w:sz w:val="22"/>
        </w:rPr>
        <w:t>四、流程图展示（三端关联）</w:t>
      </w:r>
    </w:p>
    <w:p>
      <w:pPr>
        <w:pStyle w:val="Heading1"/>
      </w:pPr>
      <w:r>
        <w:t>一、系统概述</w:t>
      </w:r>
    </w:p>
    <w:p>
      <w:pPr>
        <w:spacing w:line="300" w:lineRule="auto"/>
        <w:ind w:firstLine="440"/>
      </w:pPr>
      <w:r>
        <w:rPr>
          <w:rFonts w:ascii="宋体" w:hAnsi="宋体" w:eastAsia="宋体"/>
          <w:sz w:val="22"/>
        </w:rPr>
        <w:t>本系统是一个面向课程设计的轻量级医疗管理系统，采用 C 语言完成后台业务逻辑，图形界面使用 EasyX 实现。系统主要服务于门诊挂号、看诊检查、处方发药、住院床位、出院结算、药品库存、缴费记录和统计查询等基础场景，不引入数据库、网络、医保和复杂权限等超出课程范围的内容。</w:t>
      </w:r>
    </w:p>
    <w:p>
      <w:pPr>
        <w:spacing w:line="300" w:lineRule="auto"/>
        <w:ind w:firstLine="440"/>
      </w:pPr>
      <w:r>
        <w:rPr>
          <w:rFonts w:ascii="宋体" w:hAnsi="宋体" w:eastAsia="宋体"/>
          <w:sz w:val="22"/>
        </w:rPr>
        <w:t>系统整体按患者端、医护端和管理端划分。患者端负责新患者录入、挂号缴费、个人信息查询、医疗记录查询和缴费记录查询；医护端负责接诊、检查、开多药处方、处方缴费、药房发药、入院分配床位和出院结算；管理端负责患者、医生、科室、药品、病房、床位等基础数据维护，并提供收入、床位、库存、医生工作量、科室工作量和系统测试等查询功能。</w:t>
      </w:r>
    </w:p>
    <w:p>
      <w:pPr>
        <w:spacing w:line="300" w:lineRule="auto"/>
        <w:ind w:firstLine="440"/>
      </w:pPr>
      <w:r>
        <w:rPr>
          <w:rFonts w:ascii="宋体" w:hAnsi="宋体" w:eastAsia="宋体"/>
          <w:sz w:val="22"/>
        </w:rPr>
        <w:t>后台数据使用多个结构体和单向链表保存，核心结构体包括 Patient、Doctor、Department、Medicine、Ward、Bed、MedicalRecord、Prescription、PrescriptionItem 和 Payment。程序启动后从 data 目录下的 txt 文件读取数据，运行过程中在链表中完成查找、增加、修改、删除和统计，最后再保存回文本文件。</w:t>
      </w:r>
    </w:p>
    <w:p>
      <w:pPr>
        <w:pStyle w:val="Heading1"/>
      </w:pPr>
      <w:r>
        <w:t>二、一些约定</w:t>
      </w:r>
    </w:p>
    <w:p>
      <w:pPr>
        <w:spacing w:line="300" w:lineRule="auto"/>
        <w:ind w:firstLine="440"/>
      </w:pPr>
      <w:r>
        <w:rPr>
          <w:rFonts w:ascii="宋体" w:hAnsi="宋体" w:eastAsia="宋体"/>
          <w:sz w:val="22"/>
        </w:rPr>
        <w:t>系统功能基于各类对象的属性实现。这里的对象不是 C++ 中的对象，而是 C 语言中的结构体数据。每一类数据都对应一个结构体，并通过 next 指针串成单向链表。主要属性约定如下。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shd w:fill="DDEA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对象</w:t>
            </w:r>
          </w:p>
        </w:tc>
        <w:tc>
          <w:tcPr>
            <w:tcW w:type="dxa" w:w="3249"/>
            <w:vAlign w:val="center"/>
            <w:shd w:fill="DDEA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主要属性</w:t>
            </w:r>
          </w:p>
        </w:tc>
        <w:tc>
          <w:tcPr>
            <w:tcW w:type="dxa" w:w="3249"/>
            <w:vAlign w:val="center"/>
            <w:shd w:fill="DDEA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3249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Patient 患者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id、name、gender、age、phone、cardId、status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保存患者基本身份信息，按姓名查询，重名时用身份证号和电话区分。</w:t>
            </w:r>
          </w:p>
        </w:tc>
      </w:tr>
      <w:tr>
        <w:tc>
          <w:tcPr>
            <w:tcW w:type="dxa" w:w="3249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Doctor 医生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id、name、deptId、title、workTime、maxCount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医生关联科室，挂号、看诊、处方等业务先选科室再选医生。</w:t>
            </w:r>
          </w:p>
        </w:tc>
      </w:tr>
      <w:tr>
        <w:tc>
          <w:tcPr>
            <w:tcW w:type="dxa" w:w="3249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Department 科室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id、name、intro、wardType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保存科室说明和对应病房类型，是医生、药品和病房关联的基础。</w:t>
            </w:r>
          </w:p>
        </w:tc>
      </w:tr>
      <w:tr>
        <w:tc>
          <w:tcPr>
            <w:tcW w:type="dxa" w:w="3249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Medicine 药品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id、name、commonName、tradeName、alias、deptId、price、stock、lowLimit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用于处方和发药，发药前检查库存，库存不足时不扣减。</w:t>
            </w:r>
          </w:p>
        </w:tc>
      </w:tr>
      <w:tr>
        <w:tc>
          <w:tcPr>
            <w:tcW w:type="dxa" w:w="3249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Ward 病房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id、type、deptId、dailyFee、totalBeds、freeBeds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按科室和病房类型管理住院费用及空床数量。</w:t>
            </w:r>
          </w:p>
        </w:tc>
      </w:tr>
      <w:tr>
        <w:tc>
          <w:tcPr>
            <w:tcW w:type="dxa" w:w="3249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Bed 床位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id、wardId、status、patientId、inDate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入院时占用床位，出院结算后释放床位。</w:t>
            </w:r>
          </w:p>
        </w:tc>
      </w:tr>
      <w:tr>
        <w:tc>
          <w:tcPr>
            <w:tcW w:type="dxa" w:w="3249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MedicalRecord 医疗记录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id、patientId、doctorId、deptId、type、date、fee、relatedId、note、regStatus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保存挂号、看诊、检查、住院等医疗过程记录。</w:t>
            </w:r>
          </w:p>
        </w:tc>
      </w:tr>
      <w:tr>
        <w:tc>
          <w:tcPr>
            <w:tcW w:type="dxa" w:w="3249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Prescription 处方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id、patientId、doctorId、deptId、date、medicalRecordId、advice、itemCount、totalFee、status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一张处方可以包含多种药，合计后生成一笔处方费用。</w:t>
            </w:r>
          </w:p>
        </w:tc>
      </w:tr>
      <w:tr>
        <w:tc>
          <w:tcPr>
            <w:tcW w:type="dxa" w:w="3249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PrescriptionItem 处方明细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prescriptionId、medicineId、count、price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记录处方中的每一种药品、数量和当时单价。</w:t>
            </w:r>
          </w:p>
        </w:tc>
      </w:tr>
      <w:tr>
        <w:tc>
          <w:tcPr>
            <w:tcW w:type="dxa" w:w="3249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Payment 缴费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id、patientId、sourceType、sourceId、amount、status、date、note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记录挂号费、检查费、处方费、住院费等，已缴费后才能继续部分业务。</w:t>
            </w:r>
          </w:p>
        </w:tc>
      </w:tr>
    </w:tbl>
    <w:p>
      <w:pPr>
        <w:spacing w:line="300" w:lineRule="auto"/>
        <w:ind w:firstLine="440"/>
      </w:pPr>
      <w:r>
        <w:rPr>
          <w:rFonts w:ascii="宋体" w:hAnsi="宋体" w:eastAsia="宋体"/>
          <w:sz w:val="22"/>
        </w:rPr>
        <w:t>编号由系统自动生成，新增数据时扫描已有链表，取最大编号加 1。患者编号为 PAT0001，医生为 DOC0001，科室为 DEP0001，药品为 MED0001，病房为 WAR0001，床位为 BED0001，医疗记录为 REC0001，处方为 RX0001，缴费为 PAY0001。用户办理业务时尽量不输入这些内部编号，而是通过姓名查询或列表选择完成操作。</w:t>
      </w:r>
    </w:p>
    <w:p>
      <w:pPr>
        <w:spacing w:line="300" w:lineRule="auto"/>
        <w:ind w:firstLine="440"/>
      </w:pPr>
      <w:r>
        <w:rPr>
          <w:rFonts w:ascii="宋体" w:hAnsi="宋体" w:eastAsia="宋体"/>
          <w:sz w:val="22"/>
        </w:rPr>
        <w:t>输入规则统一限制姓名、性别、年龄、电话、身份证号、日期、金额和数量等字段；由于 txt 文件使用竖线分隔字段，所以输入内容不能包含 | 或换行。</w:t>
      </w:r>
    </w:p>
    <w:p>
      <w:pPr>
        <w:pStyle w:val="Heading1"/>
      </w:pPr>
      <w:r>
        <w:t>三、具体功能实现</w:t>
      </w:r>
    </w:p>
    <w:p>
      <w:pPr>
        <w:spacing w:line="300" w:lineRule="auto"/>
        <w:ind w:firstLine="440"/>
      </w:pPr>
      <w:r>
        <w:rPr>
          <w:rFonts w:ascii="宋体" w:hAnsi="宋体" w:eastAsia="宋体"/>
          <w:sz w:val="22"/>
        </w:rPr>
        <w:t>患者端主要完成新患者信息录入、患者挂号缴费、个人信息查询、医疗记录查询和缴费记录查询。新增患者时调用 addPatient 保存基本信息，同时检查身份证号是否重复；查询患者时按姓名匹配，如果存在重名患者，界面会显示身份证号和电话，用户再按序号选择。</w:t>
      </w:r>
    </w:p>
    <w:p>
      <w:pPr>
        <w:spacing w:line="300" w:lineRule="auto"/>
        <w:ind w:firstLine="440"/>
      </w:pPr>
      <w:r>
        <w:rPr>
          <w:rFonts w:ascii="宋体" w:hAnsi="宋体" w:eastAsia="宋体"/>
          <w:sz w:val="22"/>
        </w:rPr>
        <w:t>医护端是系统的主业务流程，包含接诊看诊、开检查、检查缴费、开多药处方、处方缴费、药房发药、入院分配床位和出院结算。处方由 Prescription 保存总信息，由 PrescriptionItem 保存多种药品明细。</w:t>
      </w:r>
    </w:p>
    <w:p>
      <w:pPr>
        <w:spacing w:line="300" w:lineRule="auto"/>
        <w:ind w:firstLine="440"/>
      </w:pPr>
      <w:r>
        <w:rPr>
          <w:rFonts w:ascii="宋体" w:hAnsi="宋体" w:eastAsia="宋体"/>
          <w:sz w:val="22"/>
        </w:rPr>
        <w:t>处方发药前必须先缴费。sendPrescription 先遍历该处方所有明细，检查每种药的库存是否足够；如果任何一种药库存不足，函数直接返回错误，不扣减任何库存。</w:t>
      </w:r>
    </w:p>
    <w:p>
      <w:pPr>
        <w:spacing w:line="300" w:lineRule="auto"/>
        <w:ind w:firstLine="440"/>
      </w:pPr>
      <w:r>
        <w:rPr>
          <w:rFonts w:ascii="宋体" w:hAnsi="宋体" w:eastAsia="宋体"/>
          <w:sz w:val="22"/>
        </w:rPr>
        <w:t>管理端主要负责基础数据维护和统计查询。删除操作先检查是否存在医疗记录、处方、缴费或床位占用等关联数据；统计报表从链表中遍历计算，结果不是写死的。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shd w:fill="DDEA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端口</w:t>
            </w:r>
          </w:p>
        </w:tc>
        <w:tc>
          <w:tcPr>
            <w:tcW w:type="dxa" w:w="3249"/>
            <w:vAlign w:val="center"/>
            <w:shd w:fill="DDEA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主要功能</w:t>
            </w:r>
          </w:p>
        </w:tc>
        <w:tc>
          <w:tcPr>
            <w:tcW w:type="dxa" w:w="3249"/>
            <w:vAlign w:val="center"/>
            <w:shd w:fill="DDEA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实现要点</w:t>
            </w:r>
          </w:p>
        </w:tc>
      </w:tr>
      <w:tr>
        <w:tc>
          <w:tcPr>
            <w:tcW w:type="dxa" w:w="3249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患者端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患者录入、挂号缴费、个人信息查询、医疗记录查询、缴费记录查询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按姓名查患者，重名显示身份证和电话；挂号先选科室再选医生，挂号费生成缴费记录。</w:t>
            </w:r>
          </w:p>
        </w:tc>
      </w:tr>
      <w:tr>
        <w:tc>
          <w:tcPr>
            <w:tcW w:type="dxa" w:w="3249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医护端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接诊、检查、处方、发药、入院、出院结算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处方总表和明细表分开保存；已缴费后发药；发药前整体检查库存；住院和出院同步更新床位状态。</w:t>
            </w:r>
          </w:p>
        </w:tc>
      </w:tr>
      <w:tr>
        <w:tc>
          <w:tcPr>
            <w:tcW w:type="dxa" w:w="3249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管理端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基础数据维护、统计报表、系统测试页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增删改查按模块实现；删除前检查关联；统计通过链表遍历计算；测试页展示输入、流程、文件和报表测试。</w:t>
            </w:r>
          </w:p>
        </w:tc>
      </w:tr>
    </w:tbl>
    <w:p>
      <w:pPr>
        <w:pStyle w:val="Heading1"/>
      </w:pPr>
      <w:r>
        <w:t>四、流程图展示（三端关联）</w:t>
      </w:r>
    </w:p>
    <w:p>
      <w:pPr>
        <w:spacing w:line="300" w:lineRule="auto"/>
        <w:ind w:firstLine="440"/>
      </w:pPr>
      <w:r>
        <w:rPr>
          <w:rFonts w:ascii="宋体" w:hAnsi="宋体" w:eastAsia="宋体"/>
          <w:sz w:val="22"/>
        </w:rPr>
        <w:t>本部分只重做流程图。为了更清楚展示系统结构，流程图采用三端泳道加链表数据区的形式，把患者端、医护端、管理端之间的业务流向，以及它们与患者链表、医生科室链表、医疗记录链表、处方链表、缴费链表、药品库存链表、病房床位链表和 txt 文件保存之间的关系放在同一张图中。</w:t>
      </w:r>
    </w:p>
    <w:p>
      <w:pPr>
        <w:spacing w:line="300" w:lineRule="auto"/>
        <w:ind w:firstLine="440"/>
      </w:pPr>
      <w:r>
        <w:rPr>
          <w:rFonts w:ascii="宋体" w:hAnsi="宋体" w:eastAsia="宋体"/>
          <w:sz w:val="22"/>
        </w:rPr>
        <w:t>图中菱形节点表示需要判断的关键步骤，例如患者是否重名、处方是否缴费、库存是否充足、床位是否空闲、删除前是否有关联记录；矩形节点表示具体业务操作；底部数据区表示各模块最终读写和统计的数据来源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9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lex_three_terminal_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30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宋体" w:hAnsi="宋体" w:eastAsia="宋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宋体" w:hAnsi="宋体" w:eastAsia="宋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