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hint="eastAsia"/>
          <w:b/>
          <w:sz w:val="36"/>
          <w:szCs w:val="36"/>
        </w:rPr>
      </w:pPr>
      <w:r>
        <w:rPr>
          <w:rFonts w:ascii="SimHei" w:hAnsi="SimHei" w:eastAsia="黑体"/>
          <w:b/>
          <w:sz w:val="36"/>
        </w:rPr>
      </w:r>
      <w:r>
        <w:rPr>
          <w:rFonts w:ascii="SimSun" w:hAnsi="SimSun" w:eastAsia="宋体"/>
          <w:b/>
          <w:sz w:val="24"/>
        </w:rPr>
        <w:t>2025级《程序设计基础课程设计》总结报告（第    组）</w:t>
      </w:r>
    </w:p>
    <w:tbl>
      <w:tblPr>
        <w:tblpPr w:vertAnchor="text" w:horzAnchor="margin" w:rightFromText="180" w:tblpX="5" w:tblpY="360"/>
        <w:tblW w:w="94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4"/>
        <w:gridCol w:w="1162"/>
        <w:gridCol w:w="623"/>
        <w:gridCol w:w="878"/>
        <w:gridCol w:w="3883"/>
        <w:gridCol w:w="992"/>
        <w:gridCol w:w="765"/>
      </w:tblGrid>
      <w:tr>
        <w:trPr>
          <w:trHeight w:val="56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学号</w:t>
            </w:r>
          </w:p>
        </w:tc>
        <w:tc>
          <w:tcPr>
            <w:tcW w:w="11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姓名</w:t>
            </w:r>
          </w:p>
        </w:tc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性别</w:t>
            </w:r>
          </w:p>
        </w:tc>
        <w:tc>
          <w:tcPr>
            <w:tcW w:w="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班级</w:t>
            </w:r>
          </w:p>
        </w:tc>
        <w:tc>
          <w:tcPr>
            <w:tcW w:w="3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具体任务分工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所占比例</w:t>
            </w:r>
          </w:p>
        </w:tc>
        <w:tc>
          <w:tcPr>
            <w:tcW w:w="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成绩</w:t>
            </w:r>
          </w:p>
        </w:tc>
      </w:tr>
      <w:tr>
        <w:trPr>
          <w:trHeight w:val="56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11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3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19"/>
              </w:rPr>
              <w:t>负责系统总体分析与总体架构设计；完成 model.h 中患者、医生、科室、药品、病房、床位、医疗记录、处方、缴费等结构体设计；维护 data.c/h 全局链表；实现 txt 文件读取、保存、字段检查、备份恢复和自动编号；完成管理端基础数据维护、删除关联限制、统计报表和预警中心相关内容。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color w:val="FF0000"/>
                <w:sz w:val="24"/>
              </w:rPr>
              <w:t>40%</w:t>
            </w:r>
          </w:p>
        </w:tc>
        <w:tc>
          <w:tcPr>
            <w:tcW w:w="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</w:tr>
      <w:tr>
        <w:trPr>
          <w:trHeight w:val="56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11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3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19"/>
              </w:rPr>
              <w:t>负责 EasyX 图形化界面设计与页面跳转；完成首页、患者端、选择页、输入页和结果页排版；实现患者信息录入、重名患者显示身份证号和电话后按序号选择、科室医生列表挂号、挂号缴费、个人档案查询、医疗记录查询和缴费记录查询；整理患者端演示流程。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color w:val="FF0000"/>
                <w:sz w:val="24"/>
              </w:rPr>
              <w:t>30%</w:t>
            </w:r>
          </w:p>
        </w:tc>
        <w:tc>
          <w:tcPr>
            <w:tcW w:w="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</w:tr>
      <w:tr>
        <w:trPr>
          <w:trHeight w:val="56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11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3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19"/>
              </w:rPr>
              <w:t>负责医护端完整业务流程；实现接诊看诊、按科室检查开单、检查缴费、多药处方、处方缴费、药房发药、入院分配空床、出院结算和床位释放；处理处方总表与明细表关系、发药前库存整体检查、住院费用计算；补充输入校验、业务流程、文件导入和报表统计测试。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color w:val="FF0000"/>
                <w:sz w:val="24"/>
              </w:rPr>
              <w:t>30%</w:t>
            </w:r>
          </w:p>
        </w:tc>
        <w:tc>
          <w:tcPr>
            <w:tcW w:w="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</w:tr>
      <w:tr>
        <w:trPr>
          <w:trHeight w:val="56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11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3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  <w:tc>
          <w:tcPr>
            <w:tcW w:w="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</w:r>
          </w:p>
        </w:tc>
      </w:tr>
      <w:tr>
        <w:trPr>
          <w:trHeight w:val="567" w:hRule="atLeast"/>
        </w:trPr>
        <w:tc>
          <w:tcPr>
            <w:tcW w:w="765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填写说明：</w:t>
            </w:r>
          </w:p>
        </w:tc>
      </w:tr>
      <w:tr>
        <w:trPr>
          <w:trHeight w:val="567" w:hRule="atLeast"/>
        </w:trPr>
        <w:tc>
          <w:tcPr>
            <w:tcW w:w="765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  <w:t>1</w:t>
            </w:r>
            <w:r>
              <w:rPr>
                <w:rFonts w:ascii="宋体" w:hAnsi="宋体" w:cs="宋体" w:hint="eastAsia"/>
                <w:sz w:val="24"/>
              </w:rPr>
              <w:t>、请将首页红色部分信息填全，其中：学号为</w:t>
            </w:r>
            <w:r>
              <w:rPr>
                <w:rFonts w:cs="宋体" w:hint="eastAsia" w:ascii="宋体" w:hAnsi="宋体"/>
                <w:sz w:val="24"/>
              </w:rPr>
              <w:t>8</w:t>
            </w:r>
            <w:r>
              <w:rPr>
                <w:rFonts w:ascii="宋体" w:hAnsi="宋体" w:cs="宋体" w:hint="eastAsia"/>
                <w:sz w:val="24"/>
              </w:rPr>
              <w:t>位数字，计算机科学与技术学院通常以</w:t>
            </w:r>
            <w:r>
              <w:rPr>
                <w:rFonts w:cs="宋体" w:ascii="宋体" w:hAnsi="宋体"/>
                <w:sz w:val="24"/>
              </w:rPr>
              <w:t>21</w:t>
            </w:r>
            <w:r>
              <w:rPr>
                <w:rFonts w:ascii="宋体" w:hAnsi="宋体" w:cs="宋体" w:hint="eastAsia"/>
                <w:sz w:val="24"/>
              </w:rPr>
              <w:t>开头、软件学院通常以</w:t>
            </w:r>
            <w:r>
              <w:rPr>
                <w:rFonts w:cs="宋体" w:hint="eastAsia" w:ascii="宋体" w:hAnsi="宋体"/>
                <w:sz w:val="24"/>
              </w:rPr>
              <w:t>55</w:t>
            </w:r>
            <w:r>
              <w:rPr>
                <w:rFonts w:ascii="宋体" w:hAnsi="宋体" w:cs="宋体" w:hint="eastAsia"/>
                <w:sz w:val="24"/>
              </w:rPr>
              <w:t>开头、人工智能学院通常以</w:t>
            </w:r>
            <w:r>
              <w:rPr>
                <w:rFonts w:cs="宋体" w:hint="eastAsia" w:ascii="宋体" w:hAnsi="宋体"/>
                <w:sz w:val="24"/>
              </w:rPr>
              <w:t>4</w:t>
            </w:r>
            <w:r>
              <w:rPr>
                <w:rFonts w:cs="宋体" w:ascii="宋体" w:hAnsi="宋体"/>
                <w:sz w:val="24"/>
              </w:rPr>
              <w:t>0</w:t>
            </w:r>
            <w:r>
              <w:rPr>
                <w:rFonts w:ascii="宋体" w:hAnsi="宋体" w:cs="宋体" w:hint="eastAsia"/>
                <w:sz w:val="24"/>
              </w:rPr>
              <w:t>开头；班级为</w:t>
            </w:r>
            <w:r>
              <w:rPr>
                <w:rFonts w:cs="宋体" w:ascii="宋体" w:hAnsi="宋体"/>
                <w:sz w:val="24"/>
              </w:rPr>
              <w:t>6</w:t>
            </w:r>
            <w:r>
              <w:rPr>
                <w:rFonts w:ascii="宋体" w:hAnsi="宋体" w:cs="宋体" w:hint="eastAsia"/>
                <w:sz w:val="24"/>
              </w:rPr>
              <w:t>位数字；所占比例为百分数，比例值个位数为</w:t>
            </w:r>
            <w:r>
              <w:rPr>
                <w:rFonts w:cs="宋体" w:hint="eastAsia" w:ascii="宋体" w:hAnsi="宋体"/>
                <w:sz w:val="24"/>
              </w:rPr>
              <w:t>0</w:t>
            </w:r>
            <w:r>
              <w:rPr>
                <w:rFonts w:ascii="宋体" w:hAnsi="宋体" w:cs="宋体" w:hint="eastAsia"/>
                <w:sz w:val="24"/>
              </w:rPr>
              <w:t>或</w:t>
            </w:r>
            <w:r>
              <w:rPr>
                <w:rFonts w:cs="宋体" w:hint="eastAsia" w:ascii="宋体" w:hAnsi="宋体"/>
                <w:sz w:val="24"/>
              </w:rPr>
              <w:t>5</w:t>
            </w:r>
            <w:r>
              <w:rPr>
                <w:rFonts w:ascii="宋体" w:hAnsi="宋体" w:cs="宋体" w:hint="eastAsia"/>
                <w:sz w:val="24"/>
              </w:rPr>
              <w:t>，且所有人的所占比例之和为</w:t>
            </w:r>
            <w:r>
              <w:rPr>
                <w:rFonts w:cs="宋体" w:hint="eastAsia" w:ascii="宋体" w:hAnsi="宋体"/>
                <w:sz w:val="24"/>
              </w:rPr>
              <w:t>100%</w:t>
            </w:r>
            <w:r>
              <w:rPr>
                <w:rFonts w:ascii="宋体" w:hAnsi="宋体" w:cs="宋体" w:hint="eastAsia"/>
                <w:sz w:val="24"/>
              </w:rPr>
              <w:t>；人数不足的分组请保留后面的多余空行，请勿修改该表的结构。</w:t>
            </w:r>
          </w:p>
          <w:p>
            <w:pPr>
              <w:pStyle w:val="Normal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  <w:t>2</w:t>
            </w:r>
            <w:r>
              <w:rPr>
                <w:rFonts w:ascii="宋体" w:hAnsi="宋体" w:cs="宋体" w:hint="eastAsia"/>
                <w:sz w:val="24"/>
              </w:rPr>
              <w:t>、请根据实际情况填写具体任务分工，主要任务包括：软件系统的总体分析与设计，具体功能的设计与实现，对应的测试与验证过程（报告正文需要列出若干组具体测试样例与对应结果），系统界面的设计与美工，以及辅助工具、视图和文件等。</w:t>
            </w:r>
          </w:p>
          <w:p>
            <w:pPr>
              <w:pStyle w:val="Normal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  <w:t>3</w:t>
            </w:r>
            <w:r>
              <w:rPr>
                <w:rFonts w:ascii="宋体" w:hAnsi="宋体" w:cs="宋体" w:hint="eastAsia"/>
                <w:sz w:val="24"/>
              </w:rPr>
              <w:t>、成绩评定由指导教师填写，学生本人请勿填写和修改。</w:t>
            </w:r>
          </w:p>
        </w:tc>
      </w:tr>
    </w:tbl>
    <w:p>
      <w:pPr>
        <w:pStyle w:val="Normal"/>
        <w:jc w:val="right"/>
        <w:rPr>
          <w:rFonts w:hint="eastAsia"/>
          <w:sz w:val="24"/>
        </w:rPr>
      </w:pPr>
      <w:r>
        <w:rPr>
          <w:rFonts w:ascii="SimSun" w:hAnsi="SimSun" w:eastAsia="宋体"/>
          <w:sz w:val="24"/>
        </w:rPr>
      </w:r>
      <w:r>
        <w:rPr>
          <w:rFonts w:ascii="SimSun" w:hAnsi="SimSun" w:eastAsia="宋体"/>
          <w:b w:val="0"/>
          <w:sz w:val="24"/>
        </w:rPr>
        <w:t>提交日期：2026年  月  日</w:t>
      </w:r>
    </w:p>
    <w:p>
      <w:r>
        <w:rPr>
          <w:rFonts w:ascii="SimSun" w:hAnsi="SimSun" w:eastAsia="宋体"/>
          <w:sz w:val="24"/>
        </w:rPr>
        <w:br w:type="page"/>
      </w:r>
    </w:p>
    <w:p>
      <w:pPr>
        <w:spacing w:after="160"/>
        <w:ind w:left="1871"/>
      </w:pPr>
      <w:r>
        <w:rPr>
          <w:rFonts w:ascii="SimSun" w:hAnsi="SimSun" w:eastAsia="宋体"/>
          <w:sz w:val="24"/>
        </w:rPr>
      </w:r>
      <w:r>
        <w:rPr>
          <w:rFonts w:ascii="SimSun" w:hAnsi="SimSun" w:eastAsia="宋体"/>
          <w:b w:val="0"/>
          <w:color w:val="325FA0"/>
          <w:sz w:val="24"/>
        </w:rPr>
        <w:t>目录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一、        系统概述</w:t>
        <w:tab/>
        <w:t>3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二、        一些约定</w:t>
        <w:tab/>
        <w:t>5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三、        具体功能实现</w:t>
        <w:tab/>
        <w:t>6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四、        流程图展示</w:t>
        <w:tab/>
        <w:t>8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五、        图形化界面相关</w:t>
        <w:tab/>
        <w:t>11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六、        测试样例与结果</w:t>
        <w:tab/>
        <w:t>12</w:t>
      </w:r>
    </w:p>
    <w:p>
      <w:pPr>
        <w:tabs>
          <w:tab w:pos="8617" w:val="right" w:leader="dot"/>
        </w:tabs>
        <w:spacing w:after="120"/>
        <w:ind w:left="1814" w:right="454"/>
      </w:pPr>
      <w:r>
        <w:rPr>
          <w:rFonts w:ascii="SimHei" w:hAnsi="SimHei" w:eastAsia="黑体"/>
          <w:b/>
          <w:sz w:val="28"/>
        </w:rPr>
      </w:r>
      <w:r>
        <w:rPr>
          <w:rFonts w:ascii="SimHei" w:hAnsi="SimHei" w:eastAsia="黑体"/>
          <w:b/>
          <w:sz w:val="28"/>
        </w:rPr>
        <w:t>七、        一些防止错误操作的措施及效果</w:t>
        <w:tab/>
        <w:t>13</w:t>
      </w:r>
    </w:p>
    <w:p>
      <w:r>
        <w:rPr>
          <w:rFonts w:ascii="SimSun" w:hAnsi="SimSun" w:eastAsia="宋体"/>
          <w:sz w:val="24"/>
        </w:rPr>
        <w:br w:type="page"/>
      </w:r>
    </w:p>
    <w:p>
      <w:pPr>
        <w:jc w:val="center"/>
      </w:pPr>
      <w:r>
        <w:rPr>
          <w:rFonts w:ascii="SimHei" w:hAnsi="SimHei" w:eastAsia="黑体"/>
          <w:b/>
          <w:sz w:val="36"/>
        </w:rPr>
      </w:r>
      <w:r>
        <w:rPr>
          <w:rFonts w:ascii="SimHei" w:hAnsi="SimHei" w:eastAsia="黑体"/>
          <w:b/>
          <w:sz w:val="36"/>
        </w:rPr>
        <w:t>报告正文</w:t>
      </w:r>
    </w:p>
    <w:p>
      <w:pPr>
        <w:spacing w:after="240"/>
      </w:pPr>
      <w:r>
        <w:rPr>
          <w:rFonts w:ascii="SimHei" w:hAnsi="SimHei" w:eastAsia="黑体"/>
          <w:b/>
          <w:sz w:val="28"/>
        </w:rPr>
        <w:t>一、    系统概述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本系统是面向小型医院的轻量级医疗管理系统，采用 C 语言实现后台业务逻辑，使用 EasyX 完成图形化界面。系统围绕真实就诊流程展开，包括患者建档、挂号缴费、医生接诊、检查开单、处方开立、处方缴费、药房发药、办理入院、出院结算、统计报表和系统测试等功能。系统不使用数据库和网络服务，核心数据均保存为 txt 文件，适合课程设计演示和答辩说明。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系统整体分为患者端、医护端和管理端。患者端主要处理患者就医入口，包含患者信息录入、重名患者选择、挂号缴费、个人信息查询、医疗记录查询和缴费记录查询；医护端负责就诊主流程，包含接诊看诊、检查开单、处方开立、发药、入院和出院；管理端负责基础数据维护、统计报表、预警中心、操作日志、备份恢复和系统测试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后台数据用结构体和单向链表组织。Patient、Doctor、Department、Medicine、Ward、Bed、MedicalRecord、Prescription、PrescriptionItem、Payment 等结构体分别保存患者、医生、科室、药品、病房床位、医疗记录、处方明细和费用数据。各模块通过编号建立关联，业务操作先修改链表，再通过 file.c/h 保存到 txt 文件中。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系统设计重点是流程清楚、数据一致和便于答辩解释。挂号先选择科室再选择医生，挂号费形成缴费记录；检查和处方先生成费用，缴费后才进入下一步；处方发药前先检查全部药品库存，库存不足不扣减；入院占用床位，出院结算后释放床位；管理端删除数据前检查关联，避免历史医疗记录失去对应信息。</w:t>
      </w:r>
    </w:p>
    <w:p>
      <w:pPr>
        <w:jc w:val="center"/>
      </w:pPr>
      <w:r>
        <w:rPr>
          <w:rFonts w:ascii="SimSun" w:hAnsi="SimSun" w:eastAsia="宋体"/>
          <w:sz w:val="24"/>
        </w:rPr>
        <w:drawing>
          <wp:inline xmlns:a="http://schemas.openxmlformats.org/drawingml/2006/main">
            <wp:extent cx="5580000" cy="28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flow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宋体"/>
          <w:b w:val="0"/>
          <w:sz w:val="24"/>
        </w:rPr>
        <w:t>系统功能层级图</w:t>
      </w:r>
    </w:p>
    <w:p>
      <w:pPr>
        <w:jc w:val="center"/>
      </w:pPr>
      <w:r>
        <w:rPr>
          <w:rFonts w:ascii="SimSun" w:hAnsi="SimSun" w:eastAsia="宋体"/>
          <w:sz w:val="24"/>
        </w:rPr>
        <w:drawing>
          <wp:inline xmlns:a="http://schemas.openxmlformats.org/drawingml/2006/main">
            <wp:extent cx="5580000" cy="29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flow_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宋体"/>
          <w:b w:val="0"/>
          <w:sz w:val="24"/>
        </w:rPr>
        <w:t>三端与链表数据关系图</w:t>
      </w:r>
    </w:p>
    <w:p>
      <w:pPr>
        <w:spacing w:after="240"/>
      </w:pPr>
      <w:r>
        <w:rPr>
          <w:rFonts w:ascii="SimHei" w:hAnsi="SimHei" w:eastAsia="黑体"/>
          <w:b/>
          <w:sz w:val="28"/>
        </w:rPr>
        <w:t>二、    一些约定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系统中的对象均指 C 语言结构体，不是 C++ 中的类对象。每一类数据都用一个结构体保存，并使用 next 指针串成单向链表。各类业务之间不直接复制大量重复数据，而是通过患者编号、医生编号、科室编号、处方编号、缴费编号等字段建立关联。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编号由系统自动生成。新增患者扫描患者链表生成 PAT0001 形式编号，医生为 DOC0001，科室为 DEP0001，药品为 MED0001，病房为 WAR0001，床位为 BED0001，医疗记录为 REC0001，处方为 RX0001，缴费为 PAY0001。用户办理业务时尽量不输入内部编号，而是通过姓名查询或列表选择完成。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输入数据统一进行限制。姓名和备注不能包含竖线和换行，因为 txt 文件使用竖线分隔字段；电话限制为 11 位数字；身份证号按 18 位格式检查；日期采用 YYYY-MM-DD 并判断闰年和月份天数；金额最多两位小数；数量必须为合理范围内的正整数。界面层提示输入要求，后台函数再次校验，防止错误数据进入链表。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系统编译环境为 Visual Studio 2022，运行环境为 Windows，图形界面基于 EasyX。源码按模块划分为 common、model、data、patient、doctor、department、medicine、ward、record、prescription、payment、file、report、test 和 gui 等文件，便于分工开发和答辩时逐项说明。</w:t>
      </w:r>
    </w:p>
    <w:tbl>
      <w:tblPr>
        <w:tblW w:type="dxa" w:w="884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701"/>
        <w:gridCol w:w="3515"/>
        <w:gridCol w:w="3628"/>
      </w:tblGrid>
      <w:tr>
        <w:tc>
          <w:tcPr>
            <w:tcW w:type="dxa" w:w="1701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对象</w:t>
            </w:r>
          </w:p>
        </w:tc>
        <w:tc>
          <w:tcPr>
            <w:tcW w:type="dxa" w:w="3515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主要属性</w:t>
            </w:r>
          </w:p>
        </w:tc>
        <w:tc>
          <w:tcPr>
            <w:tcW w:type="dxa" w:w="3628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Patient 患者</w:t>
            </w:r>
          </w:p>
        </w:tc>
        <w:tc>
          <w:tcPr>
            <w:tcW w:type="dxa" w:w="3515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id、name、gender、age、phone、cardId、status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保存患者基本身份信息，支持按姓名查询，重名时显示身份证号和电话。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Doctor 医生</w:t>
            </w:r>
          </w:p>
        </w:tc>
        <w:tc>
          <w:tcPr>
            <w:tcW w:type="dxa" w:w="3515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id、name、deptId、title、workTime、maxCount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医生关联科室，用于挂号、看诊、处方和工作量统计。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Medicine 药品</w:t>
            </w:r>
          </w:p>
        </w:tc>
        <w:tc>
          <w:tcPr>
            <w:tcW w:type="dxa" w:w="3515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id、name、commonName、tradeName、alias、price、stock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用于处方和发药，发药前检查库存。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Prescription 处方</w:t>
            </w:r>
          </w:p>
        </w:tc>
        <w:tc>
          <w:tcPr>
            <w:tcW w:type="dxa" w:w="3515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id、patientId、doctorId、itemCount、totalFee、status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处方总表保存总金额和状态，明细表保存多种药品。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Payment 缴费</w:t>
            </w:r>
          </w:p>
        </w:tc>
        <w:tc>
          <w:tcPr>
            <w:tcW w:type="dxa" w:w="3515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id、patientId、sourceType、amount、status、date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记录挂号费、检查费、处方费和住院费等。</w:t>
            </w:r>
          </w:p>
        </w:tc>
      </w:tr>
    </w:tbl>
    <w:p>
      <w:pPr>
        <w:spacing w:after="240"/>
      </w:pPr>
      <w:r>
        <w:rPr>
          <w:rFonts w:ascii="SimHei" w:hAnsi="SimHei" w:eastAsia="黑体"/>
          <w:b/>
          <w:sz w:val="28"/>
        </w:rPr>
        <w:t>三、    具体功能实现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1.    患者端：实现患者信息录入、重名患者选择、挂号缴费、个人档案查询、医疗记录查询和缴费记录查询。查询患者时先输入姓名，若存在重名患者，则显示身份证号和电话，用户按序号选择，避免直接输入内部患者编号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2.    医护端：实现接诊看诊、检查开单、检查缴费、多药处方、处方缴费、药房发药、办理入院和出院结算。检查和处方都先形成缴费记录，缴清后再继续业务；发药前整体检查库存；出院后释放床位。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3.    管理端：实现患者、医生、科室、药品、病房、床位等基础数据维护，并提供收入统计、床位使用统计、药品库存统计、医生工作量统计、科室工作量统计、预警中心、操作日志、备份恢复和系统测试。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4.    文件读写：程序启动时从 data 目录读取 txt 文件，运行过程中操作链表，保存时再写回文件。checkDataFile 会检查字段数量，避免格式错误文件直接导入后破坏数据。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5.    系统测试：test.c 中设计了输入校验测试、业务流程测试、文件导入测试和统计报表测试，覆盖空输入、非法字符、日期错误、金额错误、重名患者、挂号缴费、多药处方、库存扣减、入院出院和删除限制等场景。</w:t>
      </w:r>
    </w:p>
    <w:p>
      <w:pPr>
        <w:spacing w:after="240"/>
      </w:pPr>
      <w:r>
        <w:rPr>
          <w:rFonts w:ascii="SimHei" w:hAnsi="SimHei" w:eastAsia="黑体"/>
          <w:b/>
          <w:sz w:val="28"/>
        </w:rPr>
        <w:t>四、    流程图展示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流程图展示部分主要说明三端业务之间的连接关系。患者端产生挂号、缴费和查询需求；医护端根据挂号数据完成看诊、检查、处方、发药、住院和出院；管理端维护基础数据并对链表数据进行统计、预警和测试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系统流程不是孤立页面跳转，而是围绕链表数据流动展开。患者、医生、科室、药品、病房床位是基础链表；医疗记录、处方、处方明细、缴费记录是业务链表；文件读写模块负责把链表数据保存到 txt 文件并在启动时恢复。</w:t>
      </w:r>
    </w:p>
    <w:p>
      <w:pPr>
        <w:jc w:val="center"/>
      </w:pPr>
      <w:r>
        <w:drawing>
          <wp:inline xmlns:a="http://schemas.openxmlformats.org/drawingml/2006/main">
            <wp:extent cx="5544000" cy="388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ent_terminal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>
            <wp:extent cx="5544000" cy="388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cal_terminal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>
            <wp:extent cx="5544000" cy="3880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erminal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40"/>
      </w:pPr>
      <w:r>
        <w:rPr>
          <w:rFonts w:ascii="SimHei" w:hAnsi="SimHei" w:eastAsia="黑体"/>
          <w:b/>
          <w:sz w:val="28"/>
        </w:rPr>
        <w:t>五、    图形化界面相关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图形界面使用 EasyX 实现，首页按照患者端、医护端、管理端三个入口组织。每个端口内部使用按钮进入具体功能，输入页给出字段提示，选择类操作尽量使用列表方式完成，例如选择科室、医生、药品、病房和床位。</w:t>
      </w:r>
    </w:p>
    <w:p>
      <w:pPr>
        <w:spacing w:line="300" w:lineRule="auto" w:after="0"/>
        <w:ind w:firstLine="420"/>
      </w:pPr>
      <w:r>
        <w:rPr>
          <w:rFonts w:ascii="SimSun" w:hAnsi="SimSun" w:eastAsia="宋体"/>
          <w:b w:val="0"/>
          <w:sz w:val="24"/>
        </w:rPr>
        <w:t>结果页采用统一的文本显示区域，并提供返回按钮。患者端页面强调就医入口，医护端页面强调完整业务流程，管理端页面强调基础数据维护、统计报表、预警中心和系统测试。界面设计保持白色背景、清晰标题和统一按钮样式，便于演示。</w:t>
      </w:r>
    </w:p>
    <w:p>
      <w:pPr>
        <w:spacing w:after="240"/>
      </w:pPr>
      <w:r>
        <w:rPr>
          <w:rFonts w:ascii="SimHei" w:hAnsi="SimHei" w:eastAsia="黑体"/>
          <w:b/>
          <w:sz w:val="28"/>
        </w:rPr>
        <w:t>六、    测试样例与结果</w:t>
      </w:r>
    </w:p>
    <w:tbl>
      <w:tblPr>
        <w:tblW w:type="dxa" w:w="884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30"/>
        <w:gridCol w:w="2438"/>
        <w:gridCol w:w="3118"/>
        <w:gridCol w:w="1757"/>
      </w:tblGrid>
      <w:tr>
        <w:tc>
          <w:tcPr>
            <w:tcW w:type="dxa" w:w="1530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测试类型</w:t>
            </w:r>
          </w:p>
        </w:tc>
        <w:tc>
          <w:tcPr>
            <w:tcW w:type="dxa" w:w="2438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输入样例</w:t>
            </w:r>
          </w:p>
        </w:tc>
        <w:tc>
          <w:tcPr>
            <w:tcW w:type="dxa" w:w="3118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预期结果</w:t>
            </w:r>
          </w:p>
        </w:tc>
        <w:tc>
          <w:tcPr>
            <w:tcW w:type="dxa" w:w="1757"/>
            <w:vAlign w:val="center"/>
            <w:shd w:fill="F2F2F2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/>
                <w:sz w:val="24"/>
              </w:rPr>
              <w:t>实际结果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输入校验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姓名为空、姓名含 |、电话位数不足、2025-02-29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系统拒绝并提示错误原因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重名患者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查询“张三”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显示多个张三及身份证号、电话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挂号缴费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患者选择内科医生并缴挂号费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生成缴费记录和挂号医疗记录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多药处方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一张处方加入两种药品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处方总金额累加，明细分别保存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库存不足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发药时某药库存不足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拒绝发药且不扣减任何库存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入院出院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办理入院后出院结算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占用床位后释放床位，生成住院费用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删除限制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删除已有记录患者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拒绝删除，保护历史记录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1530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SimSun" w:hAnsi="SimSun" w:eastAsia="宋体"/>
                <w:b w:val="0"/>
                <w:sz w:val="24"/>
              </w:rPr>
              <w:t>文件导入</w:t>
            </w:r>
          </w:p>
        </w:tc>
        <w:tc>
          <w:tcPr>
            <w:tcW w:type="dxa" w:w="243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字段数量错误 txt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拒绝整文件并提示问题</w:t>
            </w:r>
          </w:p>
        </w:tc>
        <w:tc>
          <w:tcPr>
            <w:tcW w:type="dxa" w:w="1757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SimSun" w:hAnsi="SimSun" w:eastAsia="宋体"/>
                <w:b w:val="0"/>
                <w:sz w:val="24"/>
              </w:rPr>
              <w:t>通过</w:t>
            </w:r>
          </w:p>
        </w:tc>
      </w:tr>
    </w:tbl>
    <w:p>
      <w:pPr>
        <w:spacing w:after="240"/>
      </w:pPr>
      <w:r>
        <w:rPr>
          <w:rFonts w:ascii="SimHei" w:hAnsi="SimHei" w:eastAsia="黑体"/>
          <w:b/>
          <w:sz w:val="28"/>
        </w:rPr>
        <w:t>七、    一些防止错误操作的措施及效果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1.    输入限制：所有关键字段先在界面提示，再由后台函数校验，空输入、非法字符、错误日期、错误金额和越界数量不能进入链表。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2.    重名处理：患者查询以姓名为入口，重名时显示身份证号和电话，再按序号选择，避免患者记错内部编号导致业务办错。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3.    缴费状态控制：挂号、检查、处方和住院费用均保存缴费状态，未缴费时不能进入需要缴费后的业务步骤。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4.    库存整体检查：处方发药前先遍历全部处方明细，只要有一种药库存不足就拒绝发药，避免出现部分扣库存、部分失败的错误状态。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5.    床位状态同步：入院时占用床位并减少病房空床数，出院结算后释放床位并恢复空床数，保证病房统计结果正确。</w:t>
      </w:r>
    </w:p>
    <w:p>
      <w:pPr>
        <w:spacing w:line="300" w:lineRule="auto" w:after="0"/>
        <w:ind w:left="425" w:hanging="198"/>
      </w:pPr>
      <w:r>
        <w:rPr>
          <w:rFonts w:ascii="SimSun" w:hAnsi="SimSun" w:eastAsia="宋体"/>
          <w:b w:val="0"/>
          <w:sz w:val="24"/>
        </w:rPr>
        <w:t>6.    删除关联保护：删除患者、医生、科室、药品、病房和床位前检查医疗记录、处方、缴费和床位占用情况，保护历史业务数据。</w:t>
      </w:r>
    </w:p>
    <w:sectPr>
      <w:footerReference w:type="default" r:id="rId2"/>
      <w:type w:val="nextPage"/>
      <w:pgSz w:w="11906" w:h="16838"/>
      <w:pgMar w:left="1440" w:right="144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Times New Roman">
    <w:charset w:val="00" w:characterSet="windows-1252"/>
    <w:family w:val="roman"/>
    <w:pitch w:val="default"/>
  </w:font>
  <w:font w:name="Liberation Sans">
    <w:altName w:val="Arial"/>
    <w:charset w:val="86"/>
    <w:family w:val="swiss"/>
    <w:pitch w:val="variable"/>
  </w:font>
  <w:font w:name="宋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distT="0" distB="0" distL="0" distR="0" simplePos="0" relativeHeight="4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7785" cy="131445"/>
              <wp:effectExtent l="0" t="0" r="0" b="0"/>
              <wp:wrapSquare wrapText="bothSides"/>
              <wp:docPr id="1" name="框架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55pt;height:10.35pt;mso-wrap-distance-left:0pt;mso-wrap-distance-right:0pt;mso-wrap-distance-top:0pt;mso-wrap-distance-bottom:0pt;margin-top:0.05pt;mso-position-vertical-relative:text;margin-left:482.7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Style15">
    <w:name w:val="页眉 字符"/>
    <w:qFormat/>
    <w:rPr>
      <w:kern w:val="2"/>
      <w:sz w:val="18"/>
      <w:szCs w:val="18"/>
    </w:rPr>
  </w:style>
  <w:style w:type="character" w:styleId="PageNumber">
    <w:name w:val="page number"/>
    <w:basedOn w:val="Style14"/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Arial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9">
    <w:name w:val="框架内容"/>
    <w:basedOn w:val="Normal"/>
    <w:qFormat/>
    <w:pPr/>
    <w:rPr/>
  </w:style>
  <w:style w:type="paragraph" w:styleId="Style20">
    <w:name w:val="表格内容"/>
    <w:basedOn w:val="Normal"/>
    <w:qFormat/>
    <w:pPr>
      <w:widowControl w:val="false"/>
      <w:suppressLineNumbers/>
    </w:pPr>
    <w:rPr/>
  </w:style>
  <w:style w:type="paragraph" w:styleId="Style21">
    <w:name w:val="表格标题"/>
    <w:basedOn w:val="Style20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2020-05-15T21:13:00Z</dcterms:created>
  <dc:creator>User</dc:creator>
  <dc:description/>
  <dc:language>zh-CN</dc:language>
  <cp:lastModifiedBy>狮子娟</cp:lastModifiedBy>
  <dcterms:modified xsi:type="dcterms:W3CDTF">2024-02-25T11:08:10Z</dcterms:modified>
  <cp:revision>19</cp:revision>
  <dc:subject/>
  <dc:title>姓名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718D0CCBC145429DAFC762A1CFC28240_13</vt:lpwstr>
  </property>
  <property fmtid="{D5CDD505-2E9C-101B-9397-08002B2CF9AE}" pid="3" name="KSOProductBuildVer">
    <vt:lpwstr>2052-12.1.0.16120</vt:lpwstr>
  </property>
</Properties>
</file>