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ETCH  /  COLOR SYSTEM</w:t>
      </w:r>
    </w:p>
    <w:p>
      <w:r>
        <w:rPr>
          <w:rFonts w:ascii="Aptos Display" w:hAnsi="Aptos Display"/>
          <w:b/>
          <w:color w:val="0C1F28"/>
          <w:sz w:val="54"/>
        </w:rPr>
        <w:t>Complete kleurinventaris</w:t>
        <w:br/>
        <w:t>&amp; coherent palettes</w:t>
      </w:r>
    </w:p>
    <w:p>
      <w:r>
        <w:t>V1.81  |  SikkenWorks  |  technische broninventaris + ontwerpvoorstellen</w:t>
      </w:r>
    </w:p>
    <w:p>
      <w:pPr>
        <w:pStyle w:val="Heading1"/>
      </w:pPr>
      <w:r>
        <w:rPr>
          <w:sz w:val="28"/>
        </w:rPr>
        <w:t>Wat is geïnventariseerd?</w:t>
      </w:r>
    </w:p>
    <w:p>
      <w:r>
        <w:t>De native schermbron firmware/fm1-native/bringup.c is doorzocht op expliciete 16-bit RGB565-kleurconstanten. Dat levert 32 unieke waarden op in 430 bronvermeldingen. Ook de nieuwe FX BYPASS-pagina is inbegrepen. De HEX-kolom is de omzetting van RGB565 naar 24-bit sRGB (#RRGGBB), afgerond naar het dichtstbijzijnde gehele kanaal.</w:t>
      </w:r>
    </w:p>
    <w:p>
      <w:r>
        <w:t>Scope: de sheet omvat alle statische 16-bit kleurcodes die in deze centrale native UI-module staan. Dynamisch berekende pixelwaarden, firmware/SDK-kleuren elders en de fysieke kleur van knoppen en LED’s zijn niet automatisch inbegrepen. HEX-conversies zijn equivalenties, geen fotometrische displaymeting.</w:t>
      </w:r>
    </w:p>
    <w:p>
      <w:pPr>
        <w:pStyle w:val="Heading1"/>
      </w:pPr>
      <w:r>
        <w:rPr>
          <w:sz w:val="28"/>
        </w:rPr>
        <w:t>Visuele hiërarchie: wat kan beter?</w:t>
      </w:r>
    </w:p>
    <w:p>
      <w:r>
        <w:t>1. Eén primaire interactiekleur in plaats van tegelijk cyan, magenta, geel en groen voor gewone bediening.</w:t>
      </w:r>
    </w:p>
    <w:p>
      <w:r>
        <w:t>2. Gebruik groen uitsluitend voor geslaagde acties of ON; amber voor BYPASS/waarschuwingen; rood uitsluitend voor fouten.</w:t>
      </w:r>
    </w:p>
    <w:p>
      <w:r>
        <w:t>3. Maak grids en kaderlijnen stiller dan teksten. Kleine 8px-letters vragen extra contrast.</w:t>
      </w:r>
    </w:p>
    <w:p>
      <w:r>
        <w:t>4. Beperk het aantal niveaus van tekstwit en grijs; definieer gedeelde tokens voor alle 63 schermen.</w:t>
      </w:r>
    </w:p>
    <w:p>
      <w:pPr>
        <w:pStyle w:val="Heading1"/>
      </w:pPr>
      <w:r>
        <w:rPr>
          <w:sz w:val="28"/>
        </w:rPr>
        <w:t>Meetwijze</w:t>
      </w:r>
    </w:p>
    <w:p>
      <w:r>
        <w:t>Gebruiksaantal = aantal letterlijk aangetroffen RGB565-coderingen in bringup.c. Een hoge frequentie betekent niet dat een kleur visueel domineert. Al bestaande kleurvariabelen of samengestelde renderfuncties kunnen vaker verschijnen dan één codevermelding.</w:t>
      </w:r>
    </w:p>
    <w:p>
      <w:r>
        <w:br w:type="page"/>
      </w:r>
    </w:p>
    <w:p>
      <w:pPr>
        <w:pStyle w:val="Heading1"/>
      </w:pPr>
      <w:r>
        <w:rPr>
          <w:sz w:val="34"/>
        </w:rPr>
        <w:t>Alle ETCH-kleuren  •  1/2</w:t>
      </w:r>
    </w:p>
    <w:p>
      <w:r>
        <w:t>RGB565 exact zoals in de firmware. Een gekleurd vlak dient uitsluitend als snelle visuele referentie.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STAAL</w:t>
            </w:r>
          </w:p>
        </w:tc>
        <w:tc>
          <w:tcPr>
            <w:tcW w:type="dxa" w:w="2527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RGB565</w:t>
            </w:r>
          </w:p>
        </w:tc>
        <w:tc>
          <w:tcPr>
            <w:tcW w:type="dxa" w:w="2527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#RRGGBB</w:t>
            </w:r>
          </w:p>
        </w:tc>
        <w:tc>
          <w:tcPr>
            <w:tcW w:type="dxa" w:w="2527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GEBRUIK</w:t>
            </w:r>
          </w:p>
        </w:tc>
      </w:tr>
      <w:tr>
        <w:tc>
          <w:tcPr>
            <w:tcW w:type="dxa" w:w="2527"/>
            <w:vAlign w:val="center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0X0000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#000000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24×</w:t>
            </w:r>
          </w:p>
        </w:tc>
      </w:tr>
      <w:tr>
        <w:tc>
          <w:tcPr>
            <w:tcW w:type="dxa" w:w="2527"/>
            <w:vAlign w:val="center"/>
            <w:shd w:fill="0092CE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0X0499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#0092CE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2×</w:t>
            </w:r>
          </w:p>
        </w:tc>
      </w:tr>
      <w:tr>
        <w:tc>
          <w:tcPr>
            <w:tcW w:type="dxa" w:w="2527"/>
            <w:vAlign w:val="center"/>
            <w:shd w:fill="00FF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0X07E0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#00FF00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25×</w:t>
            </w:r>
          </w:p>
        </w:tc>
      </w:tr>
      <w:tr>
        <w:tc>
          <w:tcPr>
            <w:tcW w:type="dxa" w:w="2527"/>
            <w:vAlign w:val="center"/>
            <w:shd w:fill="00FFFF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0X07FF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#00FFFF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54×</w:t>
            </w:r>
          </w:p>
        </w:tc>
      </w:tr>
      <w:tr>
        <w:tc>
          <w:tcPr>
            <w:tcW w:type="dxa" w:w="2527"/>
            <w:vAlign w:val="center"/>
            <w:shd w:fill="08865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0X0C2B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#08865A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1×</w:t>
            </w:r>
          </w:p>
        </w:tc>
      </w:tr>
      <w:tr>
        <w:tc>
          <w:tcPr>
            <w:tcW w:type="dxa" w:w="2527"/>
            <w:vAlign w:val="center"/>
            <w:shd w:fill="10101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0X1082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#101010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3×</w:t>
            </w:r>
          </w:p>
        </w:tc>
      </w:tr>
      <w:tr>
        <w:tc>
          <w:tcPr>
            <w:tcW w:type="dxa" w:w="2527"/>
            <w:vAlign w:val="center"/>
            <w:shd w:fill="19141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0X18A3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#191419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2×</w:t>
            </w:r>
          </w:p>
        </w:tc>
      </w:tr>
      <w:tr>
        <w:tc>
          <w:tcPr>
            <w:tcW w:type="dxa" w:w="2527"/>
            <w:vAlign w:val="center"/>
            <w:shd w:fill="19142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0X18A4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#191421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2×</w:t>
            </w:r>
          </w:p>
        </w:tc>
      </w:tr>
      <w:tr>
        <w:tc>
          <w:tcPr>
            <w:tcW w:type="dxa" w:w="2527"/>
            <w:vAlign w:val="center"/>
            <w:shd w:fill="21202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0X2104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#212021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4×</w:t>
            </w:r>
          </w:p>
        </w:tc>
      </w:tr>
      <w:tr>
        <w:tc>
          <w:tcPr>
            <w:tcW w:type="dxa" w:w="2527"/>
            <w:vAlign w:val="center"/>
            <w:shd w:fill="21242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0X2124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#212421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5×</w:t>
            </w:r>
          </w:p>
        </w:tc>
      </w:tr>
      <w:tr>
        <w:tc>
          <w:tcPr>
            <w:tcW w:type="dxa" w:w="2527"/>
            <w:vAlign w:val="center"/>
            <w:shd w:fill="29282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0X2945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#292829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16×</w:t>
            </w:r>
          </w:p>
        </w:tc>
      </w:tr>
      <w:tr>
        <w:tc>
          <w:tcPr>
            <w:tcW w:type="dxa" w:w="2527"/>
            <w:vAlign w:val="center"/>
            <w:shd w:fill="3A393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0X39C7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#3A393A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1×</w:t>
            </w:r>
          </w:p>
        </w:tc>
      </w:tr>
      <w:tr>
        <w:tc>
          <w:tcPr>
            <w:tcW w:type="dxa" w:w="2527"/>
            <w:vAlign w:val="center"/>
            <w:shd w:fill="3A3D3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0X39E7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#3A3D3A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1×</w:t>
            </w:r>
          </w:p>
        </w:tc>
      </w:tr>
      <w:tr>
        <w:tc>
          <w:tcPr>
            <w:tcW w:type="dxa" w:w="2527"/>
            <w:vAlign w:val="center"/>
            <w:shd w:fill="42414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0X4208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#424142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1×</w:t>
            </w:r>
          </w:p>
        </w:tc>
      </w:tr>
      <w:tr>
        <w:tc>
          <w:tcPr>
            <w:tcW w:type="dxa" w:w="2527"/>
            <w:vAlign w:val="center"/>
            <w:shd w:fill="5255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0X52AA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#525552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3×</w:t>
            </w:r>
          </w:p>
        </w:tc>
      </w:tr>
      <w:tr>
        <w:tc>
          <w:tcPr>
            <w:tcW w:type="dxa" w:w="2527"/>
            <w:vAlign w:val="center"/>
            <w:shd w:fill="63FFFF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0X67FF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#63FFFF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8×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4"/>
        </w:rPr>
        <w:t>Alle ETCH-kleuren  •  2/2</w:t>
      </w:r>
    </w:p>
    <w:p>
      <w:r>
        <w:t>De twee tabellen samen bevatten alle 32 aangetroffen statische kleuren. De conversie is reproduceerbaar uit de bron.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STAAL</w:t>
            </w:r>
          </w:p>
        </w:tc>
        <w:tc>
          <w:tcPr>
            <w:tcW w:type="dxa" w:w="2527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RGB565</w:t>
            </w:r>
          </w:p>
        </w:tc>
        <w:tc>
          <w:tcPr>
            <w:tcW w:type="dxa" w:w="2527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#RRGGBB</w:t>
            </w:r>
          </w:p>
        </w:tc>
        <w:tc>
          <w:tcPr>
            <w:tcW w:type="dxa" w:w="2527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GEBRUIK</w:t>
            </w:r>
          </w:p>
        </w:tc>
      </w:tr>
      <w:tr>
        <w:tc>
          <w:tcPr>
            <w:tcW w:type="dxa" w:w="2527"/>
            <w:vAlign w:val="center"/>
            <w:shd w:fill="7B7D7B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0X7BEF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#7B7D7B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79×</w:t>
            </w:r>
          </w:p>
        </w:tc>
      </w:tr>
      <w:tr>
        <w:tc>
          <w:tcPr>
            <w:tcW w:type="dxa" w:w="2527"/>
            <w:vAlign w:val="center"/>
            <w:shd w:fill="8482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0X8410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#848284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1×</w:t>
            </w:r>
          </w:p>
        </w:tc>
      </w:tr>
      <w:tr>
        <w:tc>
          <w:tcPr>
            <w:tcW w:type="dxa" w:w="2527"/>
            <w:vAlign w:val="center"/>
            <w:shd w:fill="ADAAAD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0XAD55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#ADAAAD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1×</w:t>
            </w:r>
          </w:p>
        </w:tc>
      </w:tr>
      <w:tr>
        <w:tc>
          <w:tcPr>
            <w:tcW w:type="dxa" w:w="2527"/>
            <w:vAlign w:val="center"/>
            <w:shd w:fill="D6FF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0XD7F0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#D6FF84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1×</w:t>
            </w:r>
          </w:p>
        </w:tc>
      </w:tr>
      <w:tr>
        <w:tc>
          <w:tcPr>
            <w:tcW w:type="dxa" w:w="2527"/>
            <w:vAlign w:val="center"/>
            <w:shd w:fill="DEFF2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0XDFE4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#DEFF21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10×</w:t>
            </w:r>
          </w:p>
        </w:tc>
      </w:tr>
      <w:tr>
        <w:tc>
          <w:tcPr>
            <w:tcW w:type="dxa" w:w="2527"/>
            <w:vAlign w:val="center"/>
            <w:shd w:fill="F7FBF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0XF7DE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#F7FBF7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3×</w:t>
            </w:r>
          </w:p>
        </w:tc>
      </w:tr>
      <w:tr>
        <w:tc>
          <w:tcPr>
            <w:tcW w:type="dxa" w:w="2527"/>
            <w:vAlign w:val="center"/>
            <w:shd w:fill="FF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0XF800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#FF0000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30×</w:t>
            </w:r>
          </w:p>
        </w:tc>
      </w:tr>
      <w:tr>
        <w:tc>
          <w:tcPr>
            <w:tcW w:type="dxa" w:w="2527"/>
            <w:vAlign w:val="center"/>
            <w:shd w:fill="FF00FF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0XF81F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#FF00FF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7×</w:t>
            </w:r>
          </w:p>
        </w:tc>
      </w:tr>
      <w:tr>
        <w:tc>
          <w:tcPr>
            <w:tcW w:type="dxa" w:w="2527"/>
            <w:vAlign w:val="center"/>
            <w:shd w:fill="FF28DE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0XF95B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#FF28DE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4×</w:t>
            </w:r>
          </w:p>
        </w:tc>
      </w:tr>
      <w:tr>
        <w:tc>
          <w:tcPr>
            <w:tcW w:type="dxa" w:w="2527"/>
            <w:vAlign w:val="center"/>
            <w:shd w:fill="FFA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0XFD20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#FFA600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1×</w:t>
            </w:r>
          </w:p>
        </w:tc>
      </w:tr>
      <w:tr>
        <w:tc>
          <w:tcPr>
            <w:tcW w:type="dxa" w:w="2527"/>
            <w:vAlign w:val="center"/>
            <w:shd w:fill="FFB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0XFDA0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#FFB600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34×</w:t>
            </w:r>
          </w:p>
        </w:tc>
      </w:tr>
      <w:tr>
        <w:tc>
          <w:tcPr>
            <w:tcW w:type="dxa" w:w="2527"/>
            <w:vAlign w:val="center"/>
            <w:shd w:fill="FFBE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0XFDE0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#FFBE00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2×</w:t>
            </w:r>
          </w:p>
        </w:tc>
      </w:tr>
      <w:tr>
        <w:tc>
          <w:tcPr>
            <w:tcW w:type="dxa" w:w="2527"/>
            <w:vAlign w:val="center"/>
            <w:shd w:fill="FFBE4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0XFDE8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#FFBE42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5×</w:t>
            </w:r>
          </w:p>
        </w:tc>
      </w:tr>
      <w:tr>
        <w:tc>
          <w:tcPr>
            <w:tcW w:type="dxa" w:w="2527"/>
            <w:vAlign w:val="center"/>
            <w:shd w:fill="FFF7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0XFFA0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#FFF700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1×</w:t>
            </w:r>
          </w:p>
        </w:tc>
      </w:tr>
      <w:tr>
        <w:tc>
          <w:tcPr>
            <w:tcW w:type="dxa" w:w="2527"/>
            <w:vAlign w:val="center"/>
            <w:shd w:fill="FFFF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0XFFE0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#FFFF00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24×</w:t>
            </w:r>
          </w:p>
        </w:tc>
      </w:tr>
      <w:tr>
        <w:tc>
          <w:tcPr>
            <w:tcW w:type="dxa" w:w="2527"/>
            <w:vAlign w:val="center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 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0XFFFF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#FFFFFF</w:t>
            </w:r>
          </w:p>
        </w:tc>
        <w:tc>
          <w:tcPr>
            <w:tcW w:type="dxa" w:w="2527"/>
            <w:vAlign w:val="center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75×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4"/>
        </w:rPr>
        <w:t>Kleurschema’s die beter samenhangen</w:t>
      </w:r>
    </w:p>
    <w:p>
      <w:r>
        <w:t>Alle voorgestelde codes zijn 24-bit HEX. Het zijn ontwerpvoorstellen, géén huidige firmwarewaarden. Voor een implementatie moeten ze gecontroleerd naar RGB565 terug worden geconverteerd.</w:t>
      </w:r>
    </w:p>
    <w:p>
      <w:pPr>
        <w:pStyle w:val="Heading1"/>
      </w:pPr>
      <w:r>
        <w:rPr>
          <w:sz w:val="26"/>
        </w:rPr>
        <w:t>A  /  ETCH REFINED  (aanbevolen)</w:t>
      </w:r>
    </w:p>
    <w:p>
      <w:r>
        <w:t>Behoudt de herkenbare ETCH-identiteit maar gebruikt minder accentkleuren tegelijk.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Background</w:t>
            </w:r>
          </w:p>
        </w:tc>
        <w:tc>
          <w:tcPr>
            <w:tcW w:type="dxa" w:w="3369"/>
            <w:shd w:fill="080B1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#080B10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Surface</w:t>
            </w:r>
          </w:p>
        </w:tc>
        <w:tc>
          <w:tcPr>
            <w:tcW w:type="dxa" w:w="3369"/>
            <w:shd w:fill="111B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#111B24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Grid</w:t>
            </w:r>
          </w:p>
        </w:tc>
        <w:tc>
          <w:tcPr>
            <w:tcW w:type="dxa" w:w="3369"/>
            <w:shd w:fill="29404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#29404A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Primary text</w:t>
            </w:r>
          </w:p>
        </w:tc>
        <w:tc>
          <w:tcPr>
            <w:tcW w:type="dxa" w:w="3369"/>
            <w:shd w:fill="F1F7F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#F1F7F7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Secondary text</w:t>
            </w:r>
          </w:p>
        </w:tc>
        <w:tc>
          <w:tcPr>
            <w:tcW w:type="dxa" w:w="3369"/>
            <w:shd w:fill="A7BAC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#A7BAC0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Interactive cyan</w:t>
            </w:r>
          </w:p>
        </w:tc>
        <w:tc>
          <w:tcPr>
            <w:tcW w:type="dxa" w:w="3369"/>
            <w:shd w:fill="63D8E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#63D8E9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Active / success</w:t>
            </w:r>
          </w:p>
        </w:tc>
        <w:tc>
          <w:tcPr>
            <w:tcW w:type="dxa" w:w="3369"/>
            <w:shd w:fill="66CE9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#66CE99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Bypass / caution</w:t>
            </w:r>
          </w:p>
        </w:tc>
        <w:tc>
          <w:tcPr>
            <w:tcW w:type="dxa" w:w="3369"/>
            <w:shd w:fill="EFC27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#EFC27A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Error</w:t>
            </w:r>
          </w:p>
        </w:tc>
        <w:tc>
          <w:tcPr>
            <w:tcW w:type="dxa" w:w="3369"/>
            <w:shd w:fill="F4777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#F47777</w:t>
            </w:r>
          </w:p>
        </w:tc>
      </w:tr>
    </w:tbl>
    <w:p/>
    <w:p>
      <w:pPr>
        <w:pStyle w:val="Heading1"/>
      </w:pPr>
      <w:r>
        <w:rPr>
          <w:sz w:val="26"/>
        </w:rPr>
        <w:t>B  /  ETCH MONOCHROME</w:t>
      </w:r>
    </w:p>
    <w:p>
      <w:r>
        <w:t>Minimalistische engineering-look, sterk gericht op helderheid en lage visuele drukte.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Background</w:t>
            </w:r>
          </w:p>
        </w:tc>
        <w:tc>
          <w:tcPr>
            <w:tcW w:type="dxa" w:w="3369"/>
            <w:shd w:fill="080A0C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#080A0C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Surface</w:t>
            </w:r>
          </w:p>
        </w:tc>
        <w:tc>
          <w:tcPr>
            <w:tcW w:type="dxa" w:w="3369"/>
            <w:shd w:fill="171C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#171C20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Grid</w:t>
            </w:r>
          </w:p>
        </w:tc>
        <w:tc>
          <w:tcPr>
            <w:tcW w:type="dxa" w:w="3369"/>
            <w:shd w:fill="33404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#334047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Primary text</w:t>
            </w:r>
          </w:p>
        </w:tc>
        <w:tc>
          <w:tcPr>
            <w:tcW w:type="dxa" w:w="3369"/>
            <w:shd w:fill="F5F7F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#F5F7F8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Secondary text</w:t>
            </w:r>
          </w:p>
        </w:tc>
        <w:tc>
          <w:tcPr>
            <w:tcW w:type="dxa" w:w="3369"/>
            <w:shd w:fill="A9B1B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#A9B1B7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Interactive</w:t>
            </w:r>
          </w:p>
        </w:tc>
        <w:tc>
          <w:tcPr>
            <w:tcW w:type="dxa" w:w="3369"/>
            <w:shd w:fill="C9E7E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#C9E7E8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Active / success</w:t>
            </w:r>
          </w:p>
        </w:tc>
        <w:tc>
          <w:tcPr>
            <w:tcW w:type="dxa" w:w="3369"/>
            <w:shd w:fill="80C59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#80C59A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Bypass / caution</w:t>
            </w:r>
          </w:p>
        </w:tc>
        <w:tc>
          <w:tcPr>
            <w:tcW w:type="dxa" w:w="3369"/>
            <w:shd w:fill="E7BC7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#E7BC78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Error</w:t>
            </w:r>
          </w:p>
        </w:tc>
        <w:tc>
          <w:tcPr>
            <w:tcW w:type="dxa" w:w="3369"/>
            <w:shd w:fill="ED8A8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#ED8A86</w:t>
            </w:r>
          </w:p>
        </w:tc>
      </w:tr>
    </w:tbl>
    <w:p/>
    <w:p>
      <w:pPr>
        <w:pStyle w:val="Heading1"/>
      </w:pPr>
      <w:r>
        <w:rPr>
          <w:sz w:val="26"/>
        </w:rPr>
        <w:t>C  /  ETCH NOCTURNE</w:t>
      </w:r>
    </w:p>
    <w:p>
      <w:r>
        <w:t>Donkere teal/purple-variant voor expressieve pagina’s; statussemantiek blijft gelijk.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Background</w:t>
            </w:r>
          </w:p>
        </w:tc>
        <w:tc>
          <w:tcPr>
            <w:tcW w:type="dxa" w:w="3369"/>
            <w:shd w:fill="080B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#080B16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Surface</w:t>
            </w:r>
          </w:p>
        </w:tc>
        <w:tc>
          <w:tcPr>
            <w:tcW w:type="dxa" w:w="3369"/>
            <w:shd w:fill="1318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#131828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Grid</w:t>
            </w:r>
          </w:p>
        </w:tc>
        <w:tc>
          <w:tcPr>
            <w:tcW w:type="dxa" w:w="3369"/>
            <w:shd w:fill="343C5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#343C53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Primary text</w:t>
            </w:r>
          </w:p>
        </w:tc>
        <w:tc>
          <w:tcPr>
            <w:tcW w:type="dxa" w:w="3369"/>
            <w:shd w:fill="F6F2FF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#F6F2FF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Secondary text</w:t>
            </w:r>
          </w:p>
        </w:tc>
        <w:tc>
          <w:tcPr>
            <w:tcW w:type="dxa" w:w="3369"/>
            <w:shd w:fill="B8ACC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#B8ACC8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Interactive</w:t>
            </w:r>
          </w:p>
        </w:tc>
        <w:tc>
          <w:tcPr>
            <w:tcW w:type="dxa" w:w="3369"/>
            <w:shd w:fill="6BDBD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#6BDBD6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Accent / selection</w:t>
            </w:r>
          </w:p>
        </w:tc>
        <w:tc>
          <w:tcPr>
            <w:tcW w:type="dxa" w:w="3369"/>
            <w:shd w:fill="B0A2F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#B0A2F3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Bypass / caution</w:t>
            </w:r>
          </w:p>
        </w:tc>
        <w:tc>
          <w:tcPr>
            <w:tcW w:type="dxa" w:w="3369"/>
            <w:shd w:fill="F1BF7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#F1BF78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Error</w:t>
            </w:r>
          </w:p>
        </w:tc>
        <w:tc>
          <w:tcPr>
            <w:tcW w:type="dxa" w:w="3369"/>
            <w:shd w:fill="FF828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8"/>
              </w:rPr>
              <w:t xml:space="preserve">        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#FF828A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4"/>
        </w:rPr>
        <w:t>Aanbevolen ETCH color tokens</w:t>
      </w:r>
    </w:p>
    <w:p>
      <w:r>
        <w:t>Voorstel: centraliseer deze namen in één native header, zodat splash, SOUND, effectpagina’s, storage en Project Manager dezelfde betekenis krijgen.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TOKEN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VOORGESTELD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REGEL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UI_BG</w:t>
            </w:r>
          </w:p>
        </w:tc>
        <w:tc>
          <w:tcPr>
            <w:tcW w:type="dxa" w:w="3369"/>
            <w:shd w:fill="080B10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#080B10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Overal gelijke achtergrond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UI_PANEL</w:t>
            </w:r>
          </w:p>
        </w:tc>
        <w:tc>
          <w:tcPr>
            <w:tcW w:type="dxa" w:w="3369"/>
            <w:shd w:fill="111B24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#111B24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Selecties, modals, cards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UI_GRID</w:t>
            </w:r>
          </w:p>
        </w:tc>
        <w:tc>
          <w:tcPr>
            <w:tcW w:type="dxa" w:w="3369"/>
            <w:shd w:fill="29404A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#29404A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Grafiek zonder dominant te worden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UI_TEXT</w:t>
            </w:r>
          </w:p>
        </w:tc>
        <w:tc>
          <w:tcPr>
            <w:tcW w:type="dxa" w:w="3369"/>
            <w:shd w:fill="F1F7F7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#F1F7F7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Alle primaire en numerieke labels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UI_TEXT_DIM</w:t>
            </w:r>
          </w:p>
        </w:tc>
        <w:tc>
          <w:tcPr>
            <w:tcW w:type="dxa" w:w="3369"/>
            <w:shd w:fill="A7BAC0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#A7BAC0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Toelichting en niet-actieve labels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UI_FOCUS</w:t>
            </w:r>
          </w:p>
        </w:tc>
        <w:tc>
          <w:tcPr>
            <w:tcW w:type="dxa" w:w="3369"/>
            <w:shd w:fill="63D8E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#63D8E9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Cursor, focus, geselecteerde pagina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UI_ON</w:t>
            </w:r>
          </w:p>
        </w:tc>
        <w:tc>
          <w:tcPr>
            <w:tcW w:type="dxa" w:w="3369"/>
            <w:shd w:fill="66CE9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#66CE99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Effect ingeschakeld; geslaagde save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UI_BYPASS</w:t>
            </w:r>
          </w:p>
        </w:tc>
        <w:tc>
          <w:tcPr>
            <w:tcW w:type="dxa" w:w="3369"/>
            <w:shd w:fill="EFC27A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#EFC27A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Effect BYP, pending of bevestiging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UI_ERROR</w:t>
            </w:r>
          </w:p>
        </w:tc>
        <w:tc>
          <w:tcPr>
            <w:tcW w:type="dxa" w:w="3369"/>
            <w:shd w:fill="F47777"/>
            <w:vAlign w:val="center"/>
          </w:tcPr>
          <w:p>
            <w:pPr>
              <w:spacing w:after="0"/>
            </w:pPr>
            <w:r/>
            <w:r>
              <w:rPr>
                <w:b/>
                <w:color w:val="15212B"/>
                <w:sz w:val="16"/>
              </w:rPr>
              <w:t>#F47777</w:t>
            </w:r>
          </w:p>
        </w:tc>
        <w:tc>
          <w:tcPr>
            <w:tcW w:type="dxa" w:w="33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5212B"/>
                <w:sz w:val="16"/>
              </w:rPr>
              <w:t>Storagefout, corruptie, audio stop</w:t>
            </w:r>
          </w:p>
        </w:tc>
      </w:tr>
    </w:tbl>
    <w:p>
      <w:pPr>
        <w:pStyle w:val="Heading1"/>
      </w:pPr>
      <w:r>
        <w:rPr>
          <w:sz w:val="28"/>
        </w:rPr>
        <w:t>Advies voor de 240×240 FM1-display</w:t>
      </w:r>
    </w:p>
    <w:p>
      <w:r>
        <w:t>• Houd 8px-tekst bij voorkeur licht op donker. Donkere grijstinten zijn bruikbaar voor grids, maar niet voor essentiële statuslabels.</w:t>
      </w:r>
    </w:p>
    <w:p>
      <w:r>
        <w:t>• Gebruik maximaal twee gewone accentkleuren per scherm: INTERACTIVE en één statuskleur. Het huidige vierkleurige K1–K4-principe is visueel druk.</w:t>
      </w:r>
    </w:p>
    <w:p>
      <w:r>
        <w:t>• Gebruik dezelfde kleur voor een effect in alle schermen: ON groen, BYP amber, ERROR rood. Maak de status ook leesbaar via woorden, niet alleen kleur.</w:t>
      </w:r>
    </w:p>
    <w:p>
      <w:r>
        <w:t>• Meet een eventuele volgende redesign met echte LCD-foto’s onder verschillende lichtomstandigheden; RGB565-conversie en computerscherm zijn geen garantie voor het werkelijke FM1-resultaat.</w:t>
      </w:r>
    </w:p>
    <w:p>
      <w:pPr>
        <w:pStyle w:val="Heading1"/>
      </w:pPr>
      <w:r>
        <w:rPr>
          <w:sz w:val="26"/>
        </w:rPr>
        <w:t>Bronnen</w:t>
      </w:r>
    </w:p>
    <w:p>
      <w:r>
        <w:t>Primair: firmware/fm1-native/bringup.c uit ETCH V1.81 (gebaseerd op V1.80). Schermrendering en schermtitels: native_ui_navigation.h en native_fx_bypass_v181.h. Alle voorstellen zijn ontwerpaanbevelingen, geen gemeten FM1-displayeigenschappen.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66" w:bottom="936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F89"/>
        <w:sz w:val="14"/>
      </w:rPr>
      <w:t>SOURCE AUDIT  •  NATIVE FM1 UI  •  RGB565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36874"/>
        <w:sz w:val="16"/>
      </w:rPr>
      <w:t>SIKKENWORKS  /  ETCH  /  V1.81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C26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9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9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Aptos" w:hAnsi="Aptos"/>
      <w:b/>
      <w:color w:val="26778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