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widowControl/>
        <w:pBdr>
          <w:bottom w:val="single" w:sz="10" w:space="3" w:color="168A98"/>
        </w:pBdr>
        <w:suppressAutoHyphens w:val="true"/>
        <w:spacing w:before="539" w:after="68"/>
        <w:contextualSpacing/>
        <w:jc w:val="left"/>
        <w:rPr>
          <w:rFonts w:ascii="Arial" w:hAnsi="Arial"/>
          <w:b/>
          <w:color w:val="17365D"/>
          <w:sz w:val="58"/>
        </w:rPr>
      </w:pPr>
      <w:r>
        <w:rPr>
          <w:b/>
          <w:color w:val="17365D"/>
          <w:sz w:val="58"/>
        </w:rPr>
        <w:t>KB Project</w:t>
      </w:r>
    </w:p>
    <w:p>
      <w:pPr>
        <w:pStyle w:val="Subtitle"/>
        <w:keepNext w:val="true"/>
        <w:widowControl/>
        <w:suppressAutoHyphens w:val="true"/>
        <w:spacing w:before="0" w:after="147"/>
        <w:rPr>
          <w:rFonts w:ascii="Arial" w:hAnsi="Arial"/>
          <w:color w:val="1F4E79"/>
          <w:sz w:val="32"/>
        </w:rPr>
      </w:pPr>
      <w:r>
        <w:rPr>
          <w:color w:val="1F4E79"/>
          <w:sz w:val="32"/>
        </w:rPr>
        <w:t>Proof of Concept Implementation Plan</w:t>
      </w:r>
    </w:p>
    <w:p>
      <w:pPr>
        <w:pStyle w:val="Normal"/>
        <w:widowControl/>
        <w:suppressAutoHyphens w:val="true"/>
        <w:spacing w:lineRule="auto" w:line="268" w:before="0" w:after="170"/>
        <w:rPr>
          <w:rFonts w:ascii="Arial" w:hAnsi="Arial"/>
          <w:i/>
          <w:color w:val="168A98"/>
          <w:sz w:val="19"/>
        </w:rPr>
      </w:pPr>
      <w:r>
        <w:rPr>
          <w:i/>
          <w:color w:val="168A98"/>
          <w:sz w:val="19"/>
        </w:rPr>
        <w:t>Time- and resource-bounded plan for an evidence-led PoC</w:t>
      </w:r>
    </w:p>
    <w:p>
      <w:pPr>
        <w:pStyle w:val="Normal"/>
        <w:widowControl/>
        <w:suppressAutoHyphens w:val="true"/>
        <w:spacing w:lineRule="auto" w:line="268" w:before="0" w:after="68"/>
        <w:rPr>
          <w:rFonts w:ascii="Arial" w:hAnsi="Arial"/>
          <w:color w:val="263238"/>
          <w:sz w:val="20"/>
        </w:rPr>
      </w:pPr>
      <w:r>
        <w:rPr>
          <w:color w:val="263238"/>
          <w:sz w:val="20"/>
        </w:rPr>
      </w:r>
    </w:p>
    <w:tbl>
      <w:tblPr>
        <w:tblStyle w:val="TableGrid"/>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4934"/>
        <w:gridCol w:w="4932"/>
      </w:tblGrid>
      <w:tr>
        <w:trPr>
          <w:tblHeader w:val="true"/>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Document status</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Draft for Review</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Version</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0.8</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Date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20 August 2026</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Project</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KB Project</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envelope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Nominal 10 weeks; adaptable within an 8-12 week PoC window</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Target platform</w:t>
            </w:r>
          </w:p>
        </w:tc>
        <w:tc>
          <w:tcPr>
            <w:tcW w:w="4932"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Single NVIDIA DGX Spark initially; second unit treated as a contingent option</w:t>
            </w:r>
          </w:p>
        </w:tc>
      </w:tr>
      <w:tr>
        <w:trPr>
          <w:cantSplit w:val="true"/>
        </w:trPr>
        <w:tc>
          <w:tcPr>
            <w:tcW w:w="493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c>
          <w:tcPr>
            <w:tcW w:w="4932"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Define a practical implementation plan for the PoC, including refined delivery increments, benchmark-led development, resources, AI-assisted development and exit criteria.</w:t>
            </w:r>
          </w:p>
        </w:tc>
      </w:tr>
    </w:tbl>
    <w:p>
      <w:pPr>
        <w:pStyle w:val="Normal"/>
        <w:widowControl/>
        <w:suppressAutoHyphens w:val="true"/>
        <w:spacing w:lineRule="auto" w:line="268" w:before="0" w:after="68"/>
        <w:rPr>
          <w:rFonts w:ascii="Arial" w:hAnsi="Arial"/>
          <w:color w:val="263238"/>
          <w:sz w:val="20"/>
        </w:rPr>
      </w:pPr>
      <w:r>
        <w:rPr>
          <w:color w:val="263238"/>
          <w:sz w:val="20"/>
        </w:rPr>
      </w:r>
    </w:p>
    <w:tbl>
      <w:tblPr>
        <w:tblW w:w="9866" w:type="dxa"/>
        <w:jc w:val="left"/>
        <w:tblInd w:w="65" w:type="dxa"/>
        <w:tblLayout w:type="fixed"/>
        <w:tblCellMar>
          <w:top w:w="65" w:type="dxa"/>
          <w:left w:w="65" w:type="dxa"/>
          <w:bottom w:w="65" w:type="dxa"/>
          <w:right w:w="65" w:type="dxa"/>
        </w:tblCellMar>
        <w:tblLook w:val="04a0" w:noHBand="0" w:noVBand="1" w:firstColumn="1" w:lastRow="0" w:lastColumn="0" w:firstRow="1"/>
      </w:tblPr>
      <w:tblGrid>
        <w:gridCol w:w="9866"/>
      </w:tblGrid>
      <w:tr>
        <w:trPr>
          <w:cantSplit w:val="true"/>
        </w:trPr>
        <w:tc>
          <w:tcPr>
            <w:tcW w:w="9866"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Review intent</w:t>
            </w:r>
          </w:p>
          <w:p>
            <w:pPr>
              <w:pStyle w:val="Normal"/>
              <w:widowControl/>
              <w:suppressAutoHyphens w:val="true"/>
              <w:spacing w:lineRule="auto" w:line="252" w:before="57" w:after="57"/>
              <w:rPr>
                <w:rFonts w:ascii="Arial" w:hAnsi="Arial"/>
                <w:color w:val="17365D"/>
                <w:sz w:val="18"/>
              </w:rPr>
            </w:pPr>
            <w:r>
              <w:rPr>
                <w:color w:val="17365D"/>
                <w:sz w:val="18"/>
              </w:rPr>
              <w:t>This plan is intentionally implementation-oriented but remains a PoC plan, not a production architecture baseline. Reviewers are invited to challenge scope, priorities, sequencing, benchmark design, staffing assumptions, decision gates and the proposed use of AI-assisted development.</w:t>
            </w:r>
          </w:p>
        </w:tc>
      </w:tr>
    </w:tbl>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Contents</w:t>
      </w:r>
    </w:p>
    <w:p>
      <w:pPr>
        <w:pStyle w:val="Normal"/>
        <w:widowControl/>
        <w:suppressAutoHyphens w:val="true"/>
        <w:spacing w:lineRule="auto" w:line="268" w:before="0" w:after="68"/>
        <w:rPr>
          <w:rFonts w:ascii="Arial" w:hAnsi="Arial"/>
          <w:color w:val="263238"/>
          <w:sz w:val="20"/>
        </w:rPr>
      </w:pPr>
      <w:r>
        <w:rPr>
          <w:color w:val="263238"/>
          <w:sz w:val="20"/>
          <w:b/>
          <w:bCs/>
        </w:rPr>
        <w:t>1. Executive Summary</w:t>
      </w:r>
    </w:p>
    <w:p>
      <w:pPr>
        <w:pStyle w:val="Normal"/>
        <w:widowControl/>
        <w:suppressAutoHyphens w:val="true"/>
        <w:spacing w:lineRule="auto" w:line="268" w:before="0" w:after="68"/>
        <w:rPr>
          <w:rFonts w:ascii="Arial" w:hAnsi="Arial"/>
          <w:color w:val="263238"/>
          <w:sz w:val="20"/>
        </w:rPr>
      </w:pPr>
      <w:r>
        <w:rPr>
          <w:color w:val="263238"/>
          <w:sz w:val="20"/>
          <w:b/>
          <w:bCs/>
        </w:rPr>
        <w:t>2. PoC Purpose, Objectives and Boundaries</w:t>
      </w:r>
    </w:p>
    <w:p>
      <w:pPr>
        <w:pStyle w:val="Normal"/>
        <w:widowControl/>
        <w:suppressAutoHyphens w:val="true"/>
        <w:spacing w:lineRule="auto" w:line="268" w:before="0" w:after="68"/>
        <w:rPr>
          <w:rFonts w:ascii="Arial" w:hAnsi="Arial"/>
          <w:color w:val="263238"/>
          <w:sz w:val="20"/>
        </w:rPr>
      </w:pPr>
      <w:r>
        <w:rPr>
          <w:color w:val="263238"/>
          <w:sz w:val="20"/>
          <w:b/>
          <w:bCs/>
        </w:rPr>
        <w:t>3. Implementation Principles</w:t>
      </w:r>
    </w:p>
    <w:p>
      <w:pPr>
        <w:pStyle w:val="Normal"/>
        <w:widowControl/>
        <w:suppressAutoHyphens w:val="true"/>
        <w:spacing w:lineRule="auto" w:line="268" w:before="0" w:after="68"/>
        <w:rPr>
          <w:rFonts w:ascii="Arial" w:hAnsi="Arial"/>
          <w:color w:val="263238"/>
          <w:sz w:val="20"/>
        </w:rPr>
      </w:pPr>
      <w:r>
        <w:rPr>
          <w:color w:val="263238"/>
          <w:sz w:val="20"/>
          <w:b/>
          <w:bCs/>
        </w:rPr>
        <w:t>4. Refined PoC Delivery Increments</w:t>
      </w:r>
    </w:p>
    <w:p>
      <w:pPr>
        <w:pStyle w:val="Normal"/>
        <w:widowControl/>
        <w:suppressAutoHyphens w:val="true"/>
        <w:spacing w:lineRule="auto" w:line="268" w:before="0" w:after="68"/>
        <w:rPr>
          <w:rFonts w:ascii="Arial" w:hAnsi="Arial"/>
          <w:color w:val="263238"/>
          <w:sz w:val="20"/>
        </w:rPr>
      </w:pPr>
      <w:r>
        <w:rPr>
          <w:color w:val="263238"/>
          <w:sz w:val="20"/>
          <w:b/>
          <w:bCs/>
        </w:rPr>
        <w:t>5. Parallel Workstreams</w:t>
      </w:r>
    </w:p>
    <w:p>
      <w:pPr>
        <w:pStyle w:val="Normal"/>
        <w:widowControl/>
        <w:suppressAutoHyphens w:val="true"/>
        <w:spacing w:lineRule="auto" w:line="268" w:before="0" w:after="68"/>
        <w:rPr>
          <w:rFonts w:ascii="Arial" w:hAnsi="Arial"/>
          <w:color w:val="263238"/>
          <w:sz w:val="20"/>
        </w:rPr>
      </w:pPr>
      <w:r>
        <w:rPr>
          <w:color w:val="263238"/>
          <w:sz w:val="20"/>
          <w:b/>
          <w:bCs/>
        </w:rPr>
        <w:t>6. Benchmark and Evaluation Plan</w:t>
      </w:r>
    </w:p>
    <w:p>
      <w:pPr>
        <w:pStyle w:val="Normal"/>
        <w:widowControl/>
        <w:suppressAutoHyphens w:val="true"/>
        <w:spacing w:lineRule="auto" w:line="268" w:before="0" w:after="68"/>
        <w:rPr>
          <w:rFonts w:ascii="Arial" w:hAnsi="Arial"/>
          <w:color w:val="263238"/>
          <w:sz w:val="20"/>
        </w:rPr>
      </w:pPr>
      <w:r>
        <w:rPr>
          <w:color w:val="263238"/>
          <w:sz w:val="20"/>
          <w:b/>
          <w:bCs/>
        </w:rPr>
        <w:t>7. Indicative 10-Week Schedule</w:t>
      </w:r>
    </w:p>
    <w:p>
      <w:pPr>
        <w:pStyle w:val="Normal"/>
        <w:widowControl/>
        <w:suppressAutoHyphens w:val="true"/>
        <w:spacing w:lineRule="auto" w:line="268" w:before="0" w:after="68"/>
        <w:rPr>
          <w:rFonts w:ascii="Arial" w:hAnsi="Arial"/>
          <w:color w:val="263238"/>
          <w:sz w:val="20"/>
        </w:rPr>
      </w:pPr>
      <w:r>
        <w:rPr>
          <w:color w:val="263238"/>
          <w:sz w:val="20"/>
          <w:b/>
          <w:bCs/>
        </w:rPr>
        <w:t>8. Technical Implementation Boundary</w:t>
      </w:r>
    </w:p>
    <w:p>
      <w:pPr>
        <w:pStyle w:val="Normal"/>
        <w:widowControl/>
        <w:suppressAutoHyphens w:val="true"/>
        <w:spacing w:lineRule="auto" w:line="268" w:before="0" w:after="68"/>
        <w:rPr>
          <w:rFonts w:ascii="Arial" w:hAnsi="Arial"/>
          <w:color w:val="263238"/>
          <w:sz w:val="20"/>
        </w:rPr>
      </w:pPr>
      <w:r>
        <w:rPr>
          <w:color w:val="263238"/>
          <w:sz w:val="20"/>
          <w:b/>
          <w:bCs/>
        </w:rPr>
        <w:t>9. AI-Assisted Development Strategy</w:t>
      </w:r>
    </w:p>
    <w:p>
      <w:pPr>
        <w:pStyle w:val="Normal"/>
        <w:widowControl/>
        <w:suppressAutoHyphens w:val="true"/>
        <w:spacing w:lineRule="auto" w:line="268" w:before="0" w:after="68"/>
        <w:rPr>
          <w:rFonts w:ascii="Arial" w:hAnsi="Arial"/>
          <w:color w:val="263238"/>
          <w:sz w:val="20"/>
        </w:rPr>
      </w:pPr>
      <w:r>
        <w:rPr>
          <w:color w:val="263238"/>
          <w:sz w:val="20"/>
          <w:b/>
          <w:bCs/>
        </w:rPr>
        <w:t>10. Team and Resource Plan</w:t>
      </w:r>
    </w:p>
    <w:p>
      <w:pPr>
        <w:pStyle w:val="Normal"/>
        <w:widowControl/>
        <w:suppressAutoHyphens w:val="true"/>
        <w:spacing w:lineRule="auto" w:line="268" w:before="0" w:after="68"/>
        <w:rPr>
          <w:rFonts w:ascii="Arial" w:hAnsi="Arial"/>
          <w:color w:val="263238"/>
          <w:sz w:val="20"/>
        </w:rPr>
      </w:pPr>
      <w:r>
        <w:rPr>
          <w:color w:val="263238"/>
          <w:sz w:val="20"/>
          <w:b/>
          <w:bCs/>
        </w:rPr>
        <w:t>11. PoC Deliverables</w:t>
      </w:r>
    </w:p>
    <w:p>
      <w:pPr>
        <w:pStyle w:val="Normal"/>
        <w:widowControl/>
        <w:suppressAutoHyphens w:val="true"/>
        <w:spacing w:lineRule="auto" w:line="268" w:before="0" w:after="68"/>
        <w:rPr>
          <w:rFonts w:ascii="Arial" w:hAnsi="Arial"/>
          <w:color w:val="263238"/>
          <w:sz w:val="20"/>
        </w:rPr>
      </w:pPr>
      <w:r>
        <w:rPr>
          <w:color w:val="263238"/>
          <w:sz w:val="20"/>
          <w:b/>
          <w:bCs/>
        </w:rPr>
        <w:t>12. Decision Gates and Exit Criteria</w:t>
      </w:r>
    </w:p>
    <w:p>
      <w:pPr>
        <w:pStyle w:val="Normal"/>
        <w:widowControl/>
        <w:suppressAutoHyphens w:val="true"/>
        <w:spacing w:lineRule="auto" w:line="268" w:before="0" w:after="68"/>
        <w:rPr>
          <w:rFonts w:ascii="Arial" w:hAnsi="Arial"/>
          <w:color w:val="263238"/>
          <w:sz w:val="20"/>
        </w:rPr>
      </w:pPr>
      <w:r>
        <w:rPr>
          <w:color w:val="263238"/>
          <w:sz w:val="20"/>
          <w:b/>
          <w:bCs/>
        </w:rPr>
        <w:t>13. Risks and Mitigations</w:t>
      </w:r>
    </w:p>
    <w:p>
      <w:pPr>
        <w:pStyle w:val="Normal"/>
        <w:widowControl/>
        <w:suppressAutoHyphens w:val="true"/>
        <w:spacing w:lineRule="auto" w:line="268" w:before="0" w:after="68"/>
        <w:rPr>
          <w:rFonts w:ascii="Arial" w:hAnsi="Arial"/>
          <w:color w:val="263238"/>
          <w:sz w:val="20"/>
        </w:rPr>
      </w:pPr>
      <w:r>
        <w:rPr>
          <w:color w:val="263238"/>
          <w:sz w:val="20"/>
          <w:b/>
          <w:bCs/>
        </w:rPr>
        <w:t>14. Configuration, Reproducibility and Experiment Control</w:t>
      </w:r>
    </w:p>
    <w:p>
      <w:pPr>
        <w:pStyle w:val="Normal"/>
        <w:widowControl/>
        <w:suppressAutoHyphens w:val="true"/>
        <w:spacing w:lineRule="auto" w:line="268" w:before="0" w:after="68"/>
        <w:rPr>
          <w:rFonts w:ascii="Arial" w:hAnsi="Arial"/>
          <w:color w:val="263238"/>
          <w:sz w:val="20"/>
        </w:rPr>
      </w:pPr>
      <w:r>
        <w:rPr>
          <w:color w:val="263238"/>
          <w:sz w:val="20"/>
          <w:b/>
          <w:bCs/>
        </w:rPr>
        <w:t>15. Open Decisions for Brainstorming</w:t>
      </w:r>
    </w:p>
    <w:p>
      <w:pPr>
        <w:pStyle w:val="Normal"/>
        <w:widowControl/>
        <w:suppressAutoHyphens w:val="true"/>
        <w:spacing w:lineRule="auto" w:line="268" w:before="0" w:after="170"/>
        <w:rPr>
          <w:rFonts w:ascii="Arial" w:hAnsi="Arial"/>
          <w:i/>
          <w:color w:val="168A98"/>
          <w:sz w:val="19"/>
        </w:rPr>
      </w:pPr>
      <w:r>
        <w:t>16. Maturity and Architecture Mapping</w:t>
      </w:r>
    </w:p>
    <w:p>
      <w:pPr>
        <w:pStyle w:val="Normal"/>
        <w:widowControl/>
        <w:suppressAutoHyphens w:val="true"/>
        <w:spacing w:lineRule="auto" w:line="268" w:before="0" w:after="68"/>
        <w:rPr>
          <w:rFonts w:ascii="Arial" w:hAnsi="Arial"/>
          <w:color w:val="263238"/>
          <w:sz w:val="20"/>
        </w:rPr>
      </w:pPr>
      <w:r>
        <w:rPr>
          <w:color w:val="263238"/>
          <w:sz w:val="20"/>
          <w:b/>
          <w:bCs/>
        </w:rPr>
        <w:t>Appendix A. Definition of Done by PoC Increment</w:t>
      </w:r>
    </w:p>
    <w:p>
      <w:pPr>
        <w:pStyle w:val="Normal"/>
        <w:widowControl/>
        <w:suppressAutoHyphens w:val="true"/>
        <w:spacing w:lineRule="auto" w:line="268" w:before="0" w:after="68"/>
        <w:rPr>
          <w:rFonts w:ascii="Arial" w:hAnsi="Arial"/>
          <w:color w:val="263238"/>
          <w:sz w:val="20"/>
        </w:rPr>
      </w:pPr>
      <w:r>
        <w:rPr>
          <w:color w:val="263238"/>
          <w:sz w:val="20"/>
          <w:b/>
          <w:bCs/>
        </w:rPr>
        <w:t>Appendix B. Suggested Experiment Record</w:t>
      </w:r>
    </w:p>
    <w:p>
      <w:pPr>
        <w:pStyle w:val="Normal"/>
        <w:widowControl/>
        <w:suppressAutoHyphens w:val="true"/>
        <w:spacing w:lineRule="auto" w:line="268" w:before="0" w:after="68"/>
        <w:rPr>
          <w:rFonts w:ascii="Arial" w:hAnsi="Arial"/>
          <w:color w:val="263238"/>
          <w:sz w:val="20"/>
        </w:rPr>
      </w:pPr>
      <w:r>
        <w:rPr>
          <w:color w:val="263238"/>
          <w:sz w:val="20"/>
          <w:b/>
          <w:bCs/>
        </w:rPr>
        <w:t>Appendix C. Seed Benchmark Case Structure</w:t>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Heading1"/>
        <w:keepNext w:val="true"/>
        <w:widowControl/>
        <w:suppressAutoHyphens w:val="true"/>
        <w:spacing w:before="272" w:after="102"/>
        <w:rPr>
          <w:rFonts w:ascii="Arial" w:hAnsi="Arial"/>
          <w:b/>
          <w:color w:val="17365D"/>
          <w:sz w:val="34"/>
        </w:rPr>
      </w:pPr>
      <w:r>
        <w:rPr>
          <w:b/>
          <w:color w:val="17365D"/>
          <w:sz w:val="34"/>
        </w:rPr>
        <w:t>1. Executive Summary</w:t>
      </w:r>
    </w:p>
    <w:p>
      <w:pPr>
        <w:pStyle w:val="Normal"/>
        <w:widowControl/>
        <w:suppressAutoHyphens w:val="true"/>
        <w:spacing w:lineRule="auto" w:line="268" w:before="0" w:after="68"/>
        <w:rPr>
          <w:rFonts w:ascii="Arial" w:hAnsi="Arial"/>
          <w:color w:val="263238"/>
          <w:sz w:val="20"/>
        </w:rPr>
      </w:pPr>
      <w:r>
        <w:rPr>
          <w:color w:val="263238"/>
          <w:sz w:val="20"/>
        </w:rPr>
        <w:t>The Proof of Concept (PoC) is intended to determine, within a small-team and time-limited development phase, whether the KB Project can deliver repeatable engineering value on representative programme information. The PoC shall not attempt to deliver the mature vision of programme-wide assurance and anomaly diagnosis. It shall establish trustworthy foundations and produce objective evidence for the next investment decision.</w:t>
      </w:r>
    </w:p>
    <w:p>
      <w:pPr>
        <w:pStyle w:val="Normal"/>
        <w:widowControl/>
        <w:suppressAutoHyphens w:val="true"/>
        <w:spacing w:lineRule="auto" w:line="268" w:before="0" w:after="68"/>
        <w:rPr>
          <w:rFonts w:ascii="Arial" w:hAnsi="Arial"/>
          <w:color w:val="263238"/>
          <w:sz w:val="20"/>
        </w:rPr>
      </w:pPr>
      <w:r>
        <w:rPr>
          <w:color w:val="263238"/>
          <w:sz w:val="20"/>
        </w:rPr>
        <w:t>The implementation strategy is benchmark-led. A representative evaluation set and simple baseline will be established at the beginning of the PoC and used continuously to compare retrieval, reranking, parsing, prompting and reasoning changes. The final result must therefore be more than a demonstration: it must include measured capability, understood failure modes, engineer feedback and a reproducible evidence trail.</w:t>
      </w:r>
    </w:p>
    <w:p>
      <w:pPr>
        <w:pStyle w:val="Normal"/>
        <w:widowControl/>
        <w:suppressAutoHyphens w:val="true"/>
        <w:spacing w:lineRule="auto" w:line="268" w:before="0" w:after="68"/>
        <w:rPr>
          <w:rFonts w:ascii="Arial" w:hAnsi="Arial"/>
          <w:color w:val="263238"/>
          <w:sz w:val="20"/>
        </w:rPr>
      </w:pPr>
      <w:r>
        <w:t>The committed PoC establishes corpus/search foundations, cited Q&amp;A and a bounded advanced multi-source capability. Benchmark expansion and deeper synthesis are conditional. A specialist FA vertical, a mature synthetic-project generator and any cross-project transfer experiment are aspirational extensions that begin only if gates, data readiness, domain-review capacity and schedule margin permit. A nominal ten-week plan is proposed, adaptable to an eight-to-twelve-week envelope after Gate -1 is satisfied.</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PoC outcome sought</w:t>
            </w:r>
          </w:p>
          <w:p>
            <w:pPr>
              <w:pStyle w:val="Normal"/>
              <w:widowControl/>
              <w:suppressAutoHyphens w:val="true"/>
              <w:spacing w:lineRule="auto" w:line="252" w:before="57" w:after="57"/>
              <w:rPr>
                <w:rFonts w:ascii="Arial" w:hAnsi="Arial"/>
                <w:color w:val="17365D"/>
                <w:sz w:val="18"/>
              </w:rPr>
            </w:pPr>
            <w:r>
              <w:rPr>
                <w:color w:val="17365D"/>
                <w:sz w:val="18"/>
              </w:rPr>
              <w:t>At the end of the PoC, stakeholders should be able to decide on evidence - not impression - whether the KB capability is useful, trustworthy enough to continue, which engineering tasks it can support, where it fails, and what the next implementation step should be.</w:t>
            </w:r>
          </w:p>
        </w:tc>
      </w:tr>
    </w:tbl>
    <w:p>
      <w:pPr>
        <w:pStyle w:val="Heading1"/>
        <w:keepNext w:val="true"/>
        <w:widowControl/>
        <w:suppressAutoHyphens w:val="true"/>
        <w:spacing w:before="272" w:after="102"/>
        <w:rPr>
          <w:rFonts w:ascii="Arial" w:hAnsi="Arial"/>
          <w:b/>
          <w:color w:val="17365D"/>
          <w:sz w:val="34"/>
        </w:rPr>
      </w:pPr>
      <w:r>
        <w:rPr>
          <w:b/>
          <w:color w:val="17365D"/>
          <w:sz w:val="34"/>
        </w:rPr>
        <w:t>2. PoC Purpose, Objectives and Boundaries</w:t>
      </w:r>
    </w:p>
    <w:p>
      <w:pPr>
        <w:pStyle w:val="Heading2"/>
        <w:keepNext w:val="true"/>
        <w:widowControl/>
        <w:suppressAutoHyphens w:val="true"/>
        <w:spacing w:before="204" w:after="68"/>
        <w:rPr>
          <w:rFonts w:ascii="Arial" w:hAnsi="Arial"/>
          <w:b/>
          <w:color w:val="1F4E79"/>
          <w:sz w:val="26"/>
        </w:rPr>
      </w:pPr>
      <w:r>
        <w:rPr>
          <w:b/>
          <w:color w:val="1F4E79"/>
          <w:sz w:val="26"/>
        </w:rPr>
        <w:t>2.1 Primary objective</w:t>
      </w:r>
    </w:p>
    <w:p>
      <w:pPr>
        <w:pStyle w:val="Normal"/>
        <w:widowControl/>
        <w:suppressAutoHyphens w:val="true"/>
        <w:spacing w:lineRule="auto" w:line="268" w:before="0" w:after="68"/>
        <w:rPr>
          <w:rFonts w:ascii="Arial" w:hAnsi="Arial"/>
          <w:color w:val="263238"/>
          <w:sz w:val="20"/>
        </w:rPr>
      </w:pPr>
      <w:r>
        <w:rPr>
          <w:color w:val="263238"/>
          <w:sz w:val="20"/>
        </w:rPr>
        <w:t>Demonstrate that a locally hosted engineering knowledge capability can materially improve the discovery and use of programme evidence on representative support questions while retaining precise provenance and appropriate uncertainty behaviour.</w:t>
      </w:r>
    </w:p>
    <w:p>
      <w:pPr>
        <w:pStyle w:val="Heading2"/>
        <w:keepNext w:val="true"/>
        <w:widowControl/>
        <w:suppressAutoHyphens w:val="true"/>
        <w:spacing w:before="204" w:after="68"/>
        <w:rPr>
          <w:rFonts w:ascii="Arial" w:hAnsi="Arial"/>
          <w:b/>
          <w:color w:val="1F4E79"/>
          <w:sz w:val="26"/>
        </w:rPr>
      </w:pPr>
      <w:r>
        <w:rPr>
          <w:b/>
          <w:color w:val="1F4E79"/>
          <w:sz w:val="26"/>
        </w:rPr>
        <w:t>2.2 PoC objectives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Characterise a representative slice of the real corpus and identify the dominant ingestion, metadata and configuration-management difficulties.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Establish an objective search/retrieval baseline and an evaluation harness before sophisticated generation is introduced.</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high-quality evidence retrieval across representative engineering document types, including tables and revisions.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grounded question answering with inspectable citations and correct abstention when evidence is insufficient.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Demonstrate selected cross-document synthesis and cross-reference following.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Measure the effect of architecture and model changes rather than selecting them by anecdotal preference.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Evaluate a small number of real historical support/investigation cases as stretch tests.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Produce a clear recommendation for the next phase, including whether a second DGX Spark or more advanced capability is justified.</w:t>
      </w:r>
    </w:p>
    <w:p>
      <w:pPr>
        <w:pStyle w:val="Heading2"/>
        <w:keepNext w:val="true"/>
        <w:widowControl/>
        <w:suppressAutoHyphens w:val="true"/>
        <w:spacing w:before="204" w:after="68"/>
        <w:rPr>
          <w:rFonts w:ascii="Arial" w:hAnsi="Arial"/>
          <w:b/>
          <w:color w:val="1F4E79"/>
          <w:sz w:val="26"/>
        </w:rPr>
      </w:pPr>
      <w:r>
        <w:rPr>
          <w:b/>
          <w:color w:val="1F4E79"/>
          <w:sz w:val="26"/>
        </w:rPr>
        <w:t>2.3 In scope</w:t>
      </w:r>
    </w:p>
    <w:p>
      <w:pPr>
        <w:pStyle w:val="Heading2"/>
        <w:keepNext w:val="true"/>
        <w:widowControl/>
        <w:suppressAutoHyphens w:val="true"/>
        <w:spacing w:before="204" w:after="68"/>
        <w:rPr>
          <w:rFonts w:ascii="Arial" w:hAnsi="Arial"/>
          <w:b/>
          <w:color w:val="1F4E79"/>
          <w:sz w:val="26"/>
        </w:rPr>
      </w:pPr>
      <w:r>
        <w:t>2.4 Scope tiers and shedding order</w:t>
      </w:r>
    </w:p>
    <w:p>
      <w:pPr>
        <w:pStyle w:val="Normal"/>
        <w:widowControl/>
        <w:suppressAutoHyphens w:val="true"/>
        <w:spacing w:lineRule="auto" w:line="268" w:before="0" w:after="170"/>
        <w:rPr>
          <w:rFonts w:ascii="Arial" w:hAnsi="Arial"/>
          <w:i/>
          <w:color w:val="168A98"/>
          <w:sz w:val="19"/>
        </w:rPr>
      </w:pPr>
      <w:r>
        <w:rPr>
          <w:b/>
          <w:bCs/>
        </w:rPr>
        <w:t>Committed core (protected first):</w:t>
      </w:r>
    </w:p>
    <w:p>
      <w:pPr>
        <w:pStyle w:val="Normal"/>
        <w:widowControl/>
        <w:suppressAutoHyphens w:val="true"/>
        <w:spacing w:lineRule="auto" w:line="268" w:before="0" w:after="68"/>
        <w:contextualSpacing/>
        <w:rPr>
          <w:rFonts w:ascii="Arial" w:hAnsi="Arial"/>
          <w:color w:val="263238"/>
          <w:sz w:val="20"/>
        </w:rPr>
        <w:ind w:left="360" w:hanging="180"/>
      </w:pPr>
      <w:r>
        <w:t>• Gate -1 readiness, corpus characterisation, authority vocabulary and a reproducible experiment harness.</w:t>
      </w:r>
    </w:p>
    <w:p>
      <w:pPr>
        <w:pStyle w:val="Normal"/>
        <w:widowControl/>
        <w:suppressAutoHyphens w:val="true"/>
        <w:spacing w:lineRule="auto" w:line="268" w:before="0" w:after="68"/>
        <w:contextualSpacing/>
        <w:rPr>
          <w:rFonts w:ascii="Arial" w:hAnsi="Arial"/>
          <w:color w:val="263238"/>
          <w:sz w:val="20"/>
        </w:rPr>
        <w:ind w:left="360" w:hanging="180"/>
      </w:pPr>
      <w:r>
        <w:t>• Baseline exact/sparse search, measured retrieval, cited answers, source inspection and abstention.</w:t>
      </w:r>
    </w:p>
    <w:p>
      <w:pPr>
        <w:pStyle w:val="Normal"/>
        <w:widowControl/>
        <w:suppressAutoHyphens w:val="true"/>
        <w:spacing w:lineRule="auto" w:line="268" w:before="0" w:after="68"/>
        <w:contextualSpacing/>
        <w:rPr>
          <w:rFonts w:ascii="Arial" w:hAnsi="Arial"/>
          <w:color w:val="263238"/>
          <w:sz w:val="20"/>
        </w:rPr>
        <w:ind w:left="360" w:hanging="180"/>
      </w:pPr>
      <w:r>
        <w:t>• A bounded advanced multi-source slice with selected revision/lineage cases.</w:t>
      </w:r>
    </w:p>
    <w:p>
      <w:pPr>
        <w:pStyle w:val="Normal"/>
        <w:widowControl/>
        <w:suppressAutoHyphens w:val="true"/>
        <w:spacing w:lineRule="auto" w:line="268" w:before="0" w:after="68"/>
        <w:contextualSpacing/>
        <w:rPr>
          <w:rFonts w:ascii="Arial" w:hAnsi="Arial"/>
          <w:color w:val="263238"/>
          <w:sz w:val="20"/>
        </w:rPr>
        <w:ind w:left="360" w:hanging="180"/>
      </w:pPr>
      <w:r>
        <w:t>• A quality-controlled seed benchmark grounded first in real project questions.</w:t>
      </w:r>
    </w:p>
    <w:p>
      <w:pPr>
        <w:pStyle w:val="Normal"/>
        <w:widowControl/>
        <w:suppressAutoHyphens w:val="true"/>
        <w:spacing w:lineRule="auto" w:line="268" w:before="0" w:after="170"/>
        <w:rPr>
          <w:rFonts w:ascii="Arial" w:hAnsi="Arial"/>
          <w:i/>
          <w:color w:val="168A98"/>
          <w:sz w:val="19"/>
        </w:rPr>
      </w:pPr>
      <w:r>
        <w:rPr>
          <w:b/>
          <w:bCs/>
        </w:rPr>
        <w:t>Conditional scope (begins only after the relevant gate):</w:t>
      </w:r>
    </w:p>
    <w:p>
      <w:pPr>
        <w:pStyle w:val="Normal"/>
        <w:widowControl/>
        <w:suppressAutoHyphens w:val="true"/>
        <w:spacing w:lineRule="auto" w:line="268" w:before="0" w:after="68"/>
        <w:contextualSpacing/>
        <w:rPr>
          <w:rFonts w:ascii="Arial" w:hAnsi="Arial"/>
          <w:color w:val="263238"/>
          <w:sz w:val="20"/>
        </w:rPr>
        <w:ind w:left="360" w:hanging="180"/>
      </w:pPr>
      <w:r>
        <w:t>• Larger benchmark populations, deeper multi-hop synthesis and additional authority/configuration cases.</w:t>
      </w:r>
    </w:p>
    <w:p>
      <w:pPr>
        <w:pStyle w:val="Normal"/>
        <w:widowControl/>
        <w:suppressAutoHyphens w:val="true"/>
        <w:spacing w:lineRule="auto" w:line="268" w:before="0" w:after="68"/>
        <w:contextualSpacing/>
        <w:rPr>
          <w:rFonts w:ascii="Arial" w:hAnsi="Arial"/>
          <w:color w:val="263238"/>
          <w:sz w:val="20"/>
        </w:rPr>
        <w:ind w:left="360" w:hanging="180"/>
      </w:pPr>
      <w:r>
        <w:t>• Engineer comparison study beyond the minimum review set and broader hardware profiling.</w:t>
      </w:r>
    </w:p>
    <w:p>
      <w:pPr>
        <w:pStyle w:val="Normal"/>
        <w:widowControl/>
        <w:suppressAutoHyphens w:val="true"/>
        <w:spacing w:lineRule="auto" w:line="268" w:before="0" w:after="170"/>
        <w:rPr>
          <w:rFonts w:ascii="Arial" w:hAnsi="Arial"/>
          <w:i/>
          <w:color w:val="168A98"/>
          <w:sz w:val="19"/>
        </w:rPr>
      </w:pPr>
      <w:r>
        <w:rPr>
          <w:b/>
          <w:bCs/>
        </w:rPr>
        <w:t>Aspirational extensions (shed first under pressure):</w:t>
      </w:r>
    </w:p>
    <w:p>
      <w:pPr>
        <w:pStyle w:val="Normal"/>
        <w:widowControl/>
        <w:suppressAutoHyphens w:val="true"/>
        <w:spacing w:lineRule="auto" w:line="268" w:before="0" w:after="68"/>
        <w:contextualSpacing/>
        <w:rPr>
          <w:rFonts w:ascii="Arial" w:hAnsi="Arial"/>
          <w:color w:val="263238"/>
          <w:sz w:val="20"/>
        </w:rPr>
        <w:ind w:left="360" w:hanging="180"/>
      </w:pPr>
      <w:r>
        <w:t>• One specialist DB, SW-consistency or function/test-configuration vertical.</w:t>
      </w:r>
    </w:p>
    <w:p>
      <w:pPr>
        <w:pStyle w:val="Normal"/>
        <w:widowControl/>
        <w:suppressAutoHyphens w:val="true"/>
        <w:spacing w:lineRule="auto" w:line="268" w:before="0" w:after="68"/>
        <w:contextualSpacing/>
        <w:rPr>
          <w:rFonts w:ascii="Arial" w:hAnsi="Arial"/>
          <w:color w:val="263238"/>
          <w:sz w:val="20"/>
        </w:rPr>
        <w:ind w:left="360" w:hanging="180"/>
      </w:pPr>
      <w:r>
        <w:t>• A mature synthetic-project generator, large historical replay set or cross-project transfer probe.</w:t>
      </w:r>
    </w:p>
    <w:p>
      <w:pPr>
        <w:pStyle w:val="Normal"/>
        <w:widowControl/>
        <w:suppressAutoHyphens w:val="true"/>
        <w:spacing w:lineRule="auto" w:line="268" w:before="0" w:after="170"/>
        <w:rPr>
          <w:rFonts w:ascii="Arial" w:hAnsi="Arial"/>
          <w:i/>
          <w:color w:val="168A98"/>
          <w:sz w:val="19"/>
        </w:rPr>
      </w:pPr>
      <w:r>
        <w:t>If schedule, access or review capacity is constrained, aspirational work is stopped first, then conditional expansion. The committed benchmark framework and evidence-retrieval objectives are protected.</w:t>
      </w:r>
    </w:p>
    <w:p>
      <w:pPr>
        <w:pStyle w:val="Heading2"/>
        <w:keepNext w:val="true"/>
        <w:widowControl/>
        <w:suppressAutoHyphens w:val="true"/>
        <w:spacing w:before="204" w:after="68"/>
        <w:rPr>
          <w:rFonts w:ascii="Arial" w:hAnsi="Arial"/>
          <w:b/>
          <w:color w:val="1F4E79"/>
          <w:sz w:val="26"/>
        </w:rPr>
      </w:pPr>
      <w:r>
        <w:t>2.5 Out of scope for committed PoC</w:t>
      </w:r>
    </w:p>
    <w:p>
      <w:pPr>
        <w:pStyle w:val="Normal"/>
        <w:widowControl/>
        <w:suppressAutoHyphens w:val="true"/>
        <w:spacing w:lineRule="auto" w:line="268" w:before="0" w:after="68"/>
        <w:contextualSpacing/>
        <w:rPr>
          <w:rFonts w:ascii="Arial" w:hAnsi="Arial"/>
          <w:color w:val="263238"/>
          <w:sz w:val="20"/>
        </w:rPr>
        <w:ind w:left="360" w:hanging="180"/>
      </w:pPr>
      <w:r>
        <w:t>• Complete corpus ingestion and production migration.</w:t>
      </w:r>
    </w:p>
    <w:p>
      <w:pPr>
        <w:pStyle w:val="Normal"/>
        <w:widowControl/>
        <w:suppressAutoHyphens w:val="true"/>
        <w:spacing w:lineRule="auto" w:line="268" w:before="0" w:after="68"/>
        <w:contextualSpacing/>
        <w:rPr>
          <w:rFonts w:ascii="Arial" w:hAnsi="Arial"/>
          <w:color w:val="263238"/>
          <w:sz w:val="20"/>
        </w:rPr>
        <w:ind w:left="360" w:hanging="180"/>
      </w:pPr>
      <w:r>
        <w:t>• Comprehensive drawing/schematic understanding or full source-code semantic reasoning.</w:t>
      </w:r>
    </w:p>
    <w:p>
      <w:pPr>
        <w:pStyle w:val="Normal"/>
        <w:widowControl/>
        <w:suppressAutoHyphens w:val="true"/>
        <w:spacing w:lineRule="auto" w:line="268" w:before="0" w:after="68"/>
        <w:contextualSpacing/>
        <w:rPr>
          <w:rFonts w:ascii="Arial" w:hAnsi="Arial"/>
          <w:color w:val="263238"/>
          <w:sz w:val="20"/>
        </w:rPr>
        <w:ind w:left="360" w:hanging="180"/>
      </w:pPr>
      <w:r>
        <w:t>• Large-scale telemetry/time-series diagnostic analytics or programme-wide verification closure.</w:t>
      </w:r>
    </w:p>
    <w:p>
      <w:pPr>
        <w:pStyle w:val="Normal"/>
        <w:widowControl/>
        <w:suppressAutoHyphens w:val="true"/>
        <w:spacing w:lineRule="auto" w:line="268" w:before="0" w:after="68"/>
        <w:contextualSpacing/>
        <w:rPr>
          <w:rFonts w:ascii="Arial" w:hAnsi="Arial"/>
          <w:color w:val="263238"/>
          <w:sz w:val="20"/>
        </w:rPr>
        <w:ind w:left="360" w:hanging="180"/>
      </w:pPr>
      <w:r>
        <w:t>• General autonomous anomaly diagnosis or operational deployment of generated fixes.</w:t>
      </w:r>
    </w:p>
    <w:p>
      <w:pPr>
        <w:pStyle w:val="Normal"/>
        <w:widowControl/>
        <w:suppressAutoHyphens w:val="true"/>
        <w:spacing w:lineRule="auto" w:line="268" w:before="0" w:after="68"/>
        <w:contextualSpacing/>
        <w:rPr>
          <w:rFonts w:ascii="Arial" w:hAnsi="Arial"/>
          <w:color w:val="263238"/>
          <w:sz w:val="20"/>
        </w:rPr>
        <w:ind w:left="360" w:hanging="180"/>
      </w:pPr>
      <w:r>
        <w:t>• Production availability, enterprise IAM, workflow integration and operational support arrangements.</w:t>
      </w:r>
    </w:p>
    <w:p>
      <w:pPr>
        <w:pStyle w:val="Normal"/>
        <w:widowControl/>
        <w:suppressAutoHyphens w:val="true"/>
        <w:spacing w:lineRule="auto" w:line="268" w:before="0" w:after="68"/>
        <w:contextualSpacing/>
        <w:rPr>
          <w:rFonts w:ascii="Arial" w:hAnsi="Arial"/>
          <w:color w:val="263238"/>
          <w:sz w:val="20"/>
        </w:rPr>
        <w:ind w:left="360" w:hanging="180"/>
      </w:pPr>
      <w:r>
        <w:t>• A general Airbus portability claim or mandatory transfer demonstration from the initial PoC.</w:t>
      </w:r>
    </w:p>
    <w:p>
      <w:pPr>
        <w:pStyle w:val="Heading1"/>
        <w:keepNext w:val="true"/>
        <w:widowControl/>
        <w:suppressAutoHyphens w:val="true"/>
        <w:spacing w:before="272" w:after="102"/>
        <w:rPr>
          <w:rFonts w:ascii="Arial" w:hAnsi="Arial"/>
          <w:b/>
          <w:color w:val="17365D"/>
          <w:sz w:val="34"/>
        </w:rPr>
      </w:pPr>
      <w:r>
        <w:rPr>
          <w:b/>
          <w:color w:val="17365D"/>
          <w:sz w:val="34"/>
        </w:rPr>
        <w:t>3. Implementation Principles</w:t>
      </w:r>
    </w:p>
    <w:p>
      <w:pPr>
        <w:pStyle w:val="Normal"/>
        <w:widowControl/>
        <w:suppressAutoHyphens w:val="true"/>
        <w:spacing w:lineRule="auto" w:line="268" w:before="0" w:after="68"/>
        <w:rPr>
          <w:rFonts w:ascii="Arial" w:hAnsi="Arial"/>
          <w:color w:val="263238"/>
          <w:sz w:val="20"/>
        </w:rPr>
      </w:pPr>
      <w:r>
        <w:rPr>
          <w:b/>
          <w:color w:val="263238"/>
          <w:sz w:val="20"/>
        </w:rPr>
        <w:t xml:space="preserve">P1 - Benchmark first: </w:t>
      </w:r>
      <w:r>
        <w:rPr>
          <w:color w:val="263238"/>
          <w:sz w:val="20"/>
        </w:rPr>
        <w:t>The benchmark and baseline are created in parallel with the first ingestion work. No major pipeline change is accepted because it merely looks better on selected examples.</w:t>
      </w:r>
    </w:p>
    <w:p>
      <w:pPr>
        <w:pStyle w:val="Normal"/>
        <w:widowControl/>
        <w:suppressAutoHyphens w:val="true"/>
        <w:spacing w:lineRule="auto" w:line="268" w:before="0" w:after="68"/>
        <w:rPr>
          <w:rFonts w:ascii="Arial" w:hAnsi="Arial"/>
          <w:color w:val="263238"/>
          <w:sz w:val="20"/>
        </w:rPr>
      </w:pPr>
      <w:r>
        <w:rPr>
          <w:b/>
          <w:color w:val="263238"/>
          <w:sz w:val="20"/>
        </w:rPr>
        <w:t xml:space="preserve">P2 - Evidence before generation: </w:t>
      </w:r>
      <w:r>
        <w:rPr>
          <w:color w:val="263238"/>
          <w:sz w:val="20"/>
        </w:rPr>
        <w:t>Retrieval quality, evidence sufficiency and provenance are treated as primary engineering capabilities. The main LLM is not expected to compensate for missing evidence.</w:t>
      </w:r>
    </w:p>
    <w:p>
      <w:pPr>
        <w:pStyle w:val="Normal"/>
        <w:widowControl/>
        <w:suppressAutoHyphens w:val="true"/>
        <w:spacing w:lineRule="auto" w:line="268" w:before="0" w:after="68"/>
        <w:rPr>
          <w:rFonts w:ascii="Arial" w:hAnsi="Arial"/>
          <w:color w:val="263238"/>
          <w:sz w:val="20"/>
        </w:rPr>
      </w:pPr>
      <w:r>
        <w:rPr>
          <w:b/>
          <w:color w:val="263238"/>
          <w:sz w:val="20"/>
        </w:rPr>
        <w:t xml:space="preserve">P3 - Narrow scope, high quality: </w:t>
      </w:r>
      <w:r>
        <w:rPr>
          <w:color w:val="263238"/>
          <w:sz w:val="20"/>
        </w:rPr>
        <w:t>The PoC favours a bounded corpus and representative tasks over superficial coverage of the complete archive.</w:t>
      </w:r>
    </w:p>
    <w:p>
      <w:pPr>
        <w:pStyle w:val="Normal"/>
        <w:widowControl/>
        <w:suppressAutoHyphens w:val="true"/>
        <w:spacing w:lineRule="auto" w:line="268" w:before="0" w:after="68"/>
        <w:rPr>
          <w:rFonts w:ascii="Arial" w:hAnsi="Arial"/>
          <w:color w:val="263238"/>
          <w:sz w:val="20"/>
        </w:rPr>
      </w:pPr>
      <w:r>
        <w:rPr>
          <w:b/>
          <w:color w:val="263238"/>
          <w:sz w:val="20"/>
        </w:rPr>
        <w:t xml:space="preserve">P4 - Reuse before build: </w:t>
      </w:r>
      <w:r>
        <w:rPr>
          <w:color w:val="263238"/>
          <w:sz w:val="20"/>
        </w:rPr>
        <w:t>Existing high-quality open-source or supported components should be integrated and measured before custom infrastructure is written.</w:t>
      </w:r>
    </w:p>
    <w:p>
      <w:pPr>
        <w:pStyle w:val="Normal"/>
        <w:widowControl/>
        <w:suppressAutoHyphens w:val="true"/>
        <w:spacing w:lineRule="auto" w:line="268" w:before="0" w:after="68"/>
        <w:rPr>
          <w:rFonts w:ascii="Arial" w:hAnsi="Arial"/>
          <w:color w:val="263238"/>
          <w:sz w:val="20"/>
        </w:rPr>
      </w:pPr>
      <w:r>
        <w:rPr>
          <w:b/>
          <w:color w:val="263238"/>
          <w:sz w:val="20"/>
        </w:rPr>
        <w:t xml:space="preserve">P5 - Simple path first: </w:t>
      </w:r>
      <w:r>
        <w:rPr>
          <w:color w:val="263238"/>
          <w:sz w:val="20"/>
        </w:rPr>
        <w:t>Straightforward lookup should use a fast bounded path. Additional retrieval/reasoning is introduced only for cases that require it.</w:t>
      </w:r>
    </w:p>
    <w:p>
      <w:pPr>
        <w:pStyle w:val="Normal"/>
        <w:widowControl/>
        <w:suppressAutoHyphens w:val="true"/>
        <w:spacing w:lineRule="auto" w:line="268" w:before="0" w:after="68"/>
        <w:rPr>
          <w:rFonts w:ascii="Arial" w:hAnsi="Arial"/>
          <w:color w:val="263238"/>
          <w:sz w:val="20"/>
        </w:rPr>
      </w:pPr>
      <w:r>
        <w:rPr>
          <w:b/>
          <w:color w:val="263238"/>
          <w:sz w:val="20"/>
        </w:rPr>
        <w:t xml:space="preserve">P6 - Reproducible experiments: </w:t>
      </w:r>
      <w:r>
        <w:rPr>
          <w:color w:val="263238"/>
          <w:sz w:val="20"/>
        </w:rPr>
        <w:t>Datasets, configurations, prompts, model versions, index versions and benchmark results must be versioned so that improvements and regressions can be reproduced.</w:t>
      </w:r>
    </w:p>
    <w:p>
      <w:pPr>
        <w:pStyle w:val="Normal"/>
        <w:widowControl/>
        <w:suppressAutoHyphens w:val="true"/>
        <w:spacing w:lineRule="auto" w:line="268" w:before="0" w:after="68"/>
        <w:rPr>
          <w:rFonts w:ascii="Arial" w:hAnsi="Arial"/>
          <w:color w:val="263238"/>
          <w:sz w:val="20"/>
        </w:rPr>
      </w:pPr>
      <w:r>
        <w:rPr>
          <w:b/>
          <w:color w:val="263238"/>
          <w:sz w:val="20"/>
        </w:rPr>
        <w:t xml:space="preserve">P7 - Human judgement used strategically: </w:t>
      </w:r>
      <w:r>
        <w:rPr>
          <w:color w:val="263238"/>
          <w:sz w:val="20"/>
        </w:rPr>
        <w:t>Domain experts should contribute realistic questions, selected evidence and review of representative failures; they should not be required to manually label thousands of examples.</w:t>
      </w:r>
    </w:p>
    <w:p>
      <w:pPr>
        <w:pStyle w:val="Normal"/>
        <w:widowControl/>
        <w:suppressAutoHyphens w:val="true"/>
        <w:spacing w:lineRule="auto" w:line="268" w:before="0" w:after="68"/>
        <w:rPr>
          <w:rFonts w:ascii="Arial" w:hAnsi="Arial"/>
          <w:color w:val="263238"/>
          <w:sz w:val="20"/>
        </w:rPr>
      </w:pPr>
      <w:r>
        <w:rPr>
          <w:b/>
          <w:color w:val="263238"/>
          <w:sz w:val="20"/>
        </w:rPr>
        <w:t xml:space="preserve">P8 - Hardware is a constraint, not the objective: </w:t>
      </w:r>
      <w:r>
        <w:rPr>
          <w:color w:val="263238"/>
          <w:sz w:val="20"/>
        </w:rPr>
        <w:t>The initial design must operate on one DGX Spark, but quality should be measured before optimising aggressively for latency. A second Spark is a contingent option, not a starting assumption.</w:t>
      </w:r>
    </w:p>
    <w:p>
      <w:pPr>
        <w:pStyle w:val="Normal"/>
        <w:widowControl/>
        <w:suppressAutoHyphens w:val="true"/>
        <w:spacing w:lineRule="auto" w:line="268" w:before="0" w:after="68"/>
        <w:rPr>
          <w:rFonts w:ascii="Arial" w:hAnsi="Arial"/>
          <w:color w:val="263238"/>
          <w:sz w:val="20"/>
        </w:rPr>
      </w:pPr>
      <w:r>
        <w:rPr>
          <w:color w:val="263238"/>
          <w:sz w:val="20"/>
          <w:b/>
          <w:bCs/>
        </w:rPr>
        <w:t>P9 - Authority-aware evidence:</w:t>
      </w:r>
      <w:r>
        <w:rPr>
          <w:color w:val="263238"/>
          <w:sz w:val="20"/>
        </w:rPr>
        <w:t xml:space="preserve"> Source authority, confirmed/unconfirmed status, lineage and baseline applicability are preserved as part of the benchmark and response, not treated as optional display metadata.</w:t>
      </w:r>
    </w:p>
    <w:p>
      <w:pPr>
        <w:pStyle w:val="Normal"/>
        <w:widowControl/>
        <w:suppressAutoHyphens w:val="true"/>
        <w:spacing w:lineRule="auto" w:line="268" w:before="0" w:after="68"/>
        <w:rPr>
          <w:rFonts w:ascii="Arial" w:hAnsi="Arial"/>
          <w:color w:val="263238"/>
          <w:sz w:val="20"/>
        </w:rPr>
      </w:pPr>
      <w:r>
        <w:rPr>
          <w:color w:val="263238"/>
          <w:sz w:val="20"/>
          <w:b/>
          <w:bCs/>
        </w:rPr>
        <w:t>P10 - Selection before specialisation:</w:t>
      </w:r>
      <w:r>
        <w:rPr>
          <w:color w:val="263238"/>
          <w:sz w:val="20"/>
        </w:rPr>
        <w:t xml:space="preserve"> Specialist FA verticals are selected only after data readiness, benchmarkability, architectural value and remaining capacity have been assessed at the preceding gate.</w:t>
      </w:r>
    </w:p>
    <w:p>
      <w:pPr>
        <w:pStyle w:val="Normal"/>
        <w:widowControl/>
        <w:suppressAutoHyphens w:val="true"/>
        <w:spacing w:lineRule="auto" w:line="268" w:before="0" w:after="68"/>
        <w:rPr>
          <w:rFonts w:ascii="Arial" w:hAnsi="Arial"/>
          <w:color w:val="263238"/>
          <w:sz w:val="20"/>
        </w:rPr>
      </w:pPr>
      <w:r>
        <w:rPr>
          <w:b/>
          <w:bCs/>
        </w:rPr>
        <w:t>P11 - Avoid hidden project assumptions:</w:t>
      </w:r>
      <w:r>
        <w:rPr/>
        <w:t xml:space="preserve"> The PoC shall audit hard-coded terminology, paths, identifiers and document conventions and record candidate shared/profile/adapter seams. It shall not freeze a cross-project abstraction before corpus evidence supports it.</w:t>
      </w:r>
    </w:p>
    <w:p>
      <w:pPr>
        <w:pStyle w:val="Normal"/>
        <w:widowControl/>
        <w:suppressAutoHyphens w:val="true"/>
        <w:spacing w:lineRule="auto" w:line="268" w:before="0" w:after="68"/>
        <w:rPr>
          <w:rFonts w:ascii="Arial" w:hAnsi="Arial"/>
          <w:color w:val="263238"/>
          <w:sz w:val="20"/>
        </w:rPr>
      </w:pPr>
      <w:r>
        <w:rPr>
          <w:b/>
          <w:bCs/>
        </w:rPr>
        <w:t>P12 - Preserve project quality while preparing for reuse:</w:t>
      </w:r>
      <w:r>
        <w:rPr/>
        <w:t xml:space="preserve"> Rover benchmark quality remains a guardrail. The PoC may produce portability-readiness evidence, but formal transfer, adaptation-effort and specialisation-gain claims are post-PoC unless separately authorised and resourced.</w:t>
      </w:r>
    </w:p>
    <w:p>
      <w:pPr>
        <w:pStyle w:val="Heading1"/>
        <w:keepNext w:val="true"/>
        <w:widowControl/>
        <w:suppressAutoHyphens w:val="true"/>
        <w:spacing w:before="272" w:after="102"/>
        <w:rPr>
          <w:rFonts w:ascii="Arial" w:hAnsi="Arial"/>
          <w:b/>
          <w:color w:val="17365D"/>
          <w:sz w:val="34"/>
        </w:rPr>
      </w:pPr>
      <w:r>
        <w:rPr>
          <w:b/>
          <w:color w:val="17365D"/>
          <w:sz w:val="34"/>
        </w:rPr>
        <w:t>4. Refined PoC Delivery Increments</w:t>
      </w:r>
    </w:p>
    <w:p>
      <w:pPr>
        <w:pStyle w:val="Normal"/>
        <w:widowControl/>
        <w:suppressAutoHyphens w:val="true"/>
        <w:spacing w:lineRule="auto" w:line="268" w:before="0" w:after="68"/>
        <w:rPr>
          <w:rFonts w:ascii="Arial" w:hAnsi="Arial"/>
          <w:color w:val="263238"/>
          <w:sz w:val="20"/>
        </w:rPr>
      </w:pPr>
      <w:r>
        <w:t>The PoC delivery increments refine the programme-level MVP ladder without changing it. FA use cases populate staged scenarios; their source labels ('Quick win', 'Core MVP' and 'Stretch') do not define the KB PoC commitment. The committed core ends at bounded PoC 2; PoC 3 is conditional and PoC X is evaluation/decision rather than another feature increment.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Increment</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Primary content</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Outcome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0 - Measure &amp; Search</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Corpus slice + authority metadata + seed benchmark + baseline search</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Know the evidence base, its limitations and the number to beat.</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1 - Cited Q&amp;A</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High-recall retrieval + grounded answers + exact provenance + abstention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Deliver UC-FA-1-01 in a bounded, measurable form.</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2 - Advanced Multi-Source Query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Bounded cross-document synthesis + references/revisions/authority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Exercise UC-FA-2-01 and demonstrate capability beyond simple document Q&amp;A.</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PoC 3 - Conditional Specialist Vertical</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At most one selected vertical, only after Gate 3; none is required for core success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Test a bounded extension or record evidence-based deferral without failing the committed PoC.</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 Challenge &amp; Decide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Frozen benchmark + remaining FA challenge cases + engineer study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Produce the go/redirect/stop evidence package without claiming mature delivery of stretch cases.</w:t>
            </w:r>
          </w:p>
        </w:tc>
      </w:tr>
    </w:tbl>
    <w:p>
      <w:pPr>
        <w:pStyle w:val="Heading2"/>
        <w:keepNext w:val="true"/>
        <w:widowControl/>
        <w:suppressAutoHyphens w:val="true"/>
        <w:spacing w:before="204" w:after="68"/>
        <w:rPr>
          <w:rFonts w:ascii="Arial" w:hAnsi="Arial"/>
          <w:b/>
          <w:color w:val="1F4E79"/>
          <w:sz w:val="26"/>
        </w:rPr>
      </w:pPr>
      <w:r>
        <w:rPr>
          <w:b/>
          <w:color w:val="1F4E79"/>
          <w:sz w:val="26"/>
        </w:rPr>
        <w:t>4.1 PoC 0 - Measure &amp; Search</w:t>
      </w:r>
    </w:p>
    <w:p>
      <w:pPr>
        <w:pStyle w:val="Normal"/>
        <w:widowControl/>
        <w:suppressAutoHyphens w:val="true"/>
        <w:spacing w:lineRule="auto" w:line="268" w:before="0" w:after="68"/>
        <w:rPr>
          <w:rFonts w:ascii="Arial" w:hAnsi="Arial"/>
          <w:color w:val="263238"/>
          <w:sz w:val="20"/>
        </w:rPr>
      </w:pPr>
      <w:r>
        <w:rPr>
          <w:color w:val="263238"/>
          <w:sz w:val="20"/>
        </w:rPr>
        <w:t>Establish the selected engineering evidence base, authority/confirmation vocabulary, document and data inventory, baseline lexical/exact search, seed benchmark and experiment harness. A working search experience is preferred over waiting for the full AI stack.</w:t>
      </w:r>
    </w:p>
    <w:p>
      <w:pPr>
        <w:pStyle w:val="Heading2"/>
        <w:keepNext w:val="true"/>
        <w:widowControl/>
        <w:suppressAutoHyphens w:val="true"/>
        <w:spacing w:before="204" w:after="68"/>
        <w:rPr>
          <w:rFonts w:ascii="Arial" w:hAnsi="Arial"/>
          <w:b/>
          <w:color w:val="1F4E79"/>
          <w:sz w:val="26"/>
        </w:rPr>
      </w:pPr>
      <w:r>
        <w:rPr>
          <w:b/>
          <w:color w:val="1F4E79"/>
          <w:sz w:val="26"/>
        </w:rPr>
        <w:t>4.2 PoC 1 - Cited Q&amp;A</w:t>
      </w:r>
    </w:p>
    <w:p>
      <w:pPr>
        <w:pStyle w:val="Normal"/>
        <w:widowControl/>
        <w:suppressAutoHyphens w:val="true"/>
        <w:spacing w:lineRule="auto" w:line="268" w:before="0" w:after="68"/>
        <w:rPr>
          <w:rFonts w:ascii="Arial" w:hAnsi="Arial"/>
          <w:color w:val="263238"/>
          <w:sz w:val="20"/>
        </w:rPr>
      </w:pPr>
      <w:r>
        <w:rPr>
          <w:color w:val="263238"/>
          <w:sz w:val="20"/>
          <w:b/>
          <w:bCs/>
        </w:rPr>
        <w:t>Implement the bounded UC-FA-1-01 pattern:</w:t>
      </w:r>
      <w:r>
        <w:rPr>
          <w:color w:val="263238"/>
          <w:sz w:val="20"/>
        </w:rPr>
        <w:t xml:space="preserve"> retrieve from a pre-cleared corpus, produce concise evidence-grounded answers with document/issue/page or section provenance, and state explicitly when the evidence base does not establish an answer.</w:t>
      </w:r>
    </w:p>
    <w:p>
      <w:pPr>
        <w:pStyle w:val="Heading2"/>
        <w:keepNext w:val="true"/>
        <w:widowControl/>
        <w:suppressAutoHyphens w:val="true"/>
        <w:spacing w:before="204" w:after="68"/>
        <w:rPr>
          <w:rFonts w:ascii="Arial" w:hAnsi="Arial"/>
          <w:b/>
          <w:color w:val="1F4E79"/>
          <w:sz w:val="26"/>
        </w:rPr>
      </w:pPr>
      <w:r>
        <w:rPr>
          <w:b/>
          <w:color w:val="1F4E79"/>
          <w:sz w:val="26"/>
        </w:rPr>
        <w:t>4.3 PoC 2 - Advanced Multi-Source Query</w:t>
      </w:r>
    </w:p>
    <w:p>
      <w:pPr>
        <w:pStyle w:val="Normal"/>
        <w:widowControl/>
        <w:suppressAutoHyphens w:val="true"/>
        <w:spacing w:lineRule="auto" w:line="268" w:before="0" w:after="68"/>
        <w:rPr>
          <w:rFonts w:ascii="Arial" w:hAnsi="Arial"/>
          <w:color w:val="263238"/>
          <w:sz w:val="20"/>
        </w:rPr>
      </w:pPr>
      <w:r>
        <w:rPr>
          <w:color w:val="263238"/>
          <w:sz w:val="20"/>
          <w:b/>
          <w:bCs/>
        </w:rPr>
        <w:t>Exercise a bounded UC-FA-2-01 slice:</w:t>
      </w:r>
      <w:r>
        <w:rPr>
          <w:color w:val="263238"/>
          <w:sz w:val="20"/>
        </w:rPr>
        <w:t xml:space="preserve"> larger and more heterogeneous evidence, cross-reference following, multi-source synthesis, visible inconsistencies, revision/out-of-date awareness and source lineage. Deterministic protocol/data interpretation may be included for one benchmark case where definitions and ground truth are available.</w:t>
      </w:r>
    </w:p>
    <w:p>
      <w:pPr>
        <w:pStyle w:val="Heading2"/>
        <w:keepNext w:val="true"/>
        <w:widowControl/>
        <w:suppressAutoHyphens w:val="true"/>
        <w:spacing w:before="204" w:after="68"/>
        <w:rPr>
          <w:rFonts w:ascii="Arial" w:hAnsi="Arial"/>
          <w:b/>
          <w:color w:val="1F4E79"/>
          <w:sz w:val="26"/>
        </w:rPr>
      </w:pPr>
      <w:r>
        <w:rPr>
          <w:b/>
          <w:color w:val="1F4E79"/>
          <w:sz w:val="26"/>
        </w:rPr>
        <w:t>4.4 PoC 3 - Selected Specialist Vertical</w:t>
      </w:r>
    </w:p>
    <w:p>
      <w:pPr>
        <w:pStyle w:val="Normal"/>
        <w:widowControl/>
        <w:suppressAutoHyphens w:val="true"/>
        <w:spacing w:lineRule="auto" w:line="268" w:before="0" w:after="68"/>
        <w:rPr>
          <w:rFonts w:ascii="Arial" w:hAnsi="Arial"/>
          <w:color w:val="263238"/>
          <w:sz w:val="20"/>
        </w:rPr>
      </w:pPr>
      <w:r>
        <w:t>PoC 3 is a conditional extension beyond the committed Definition scope. At Gate 3, select at most one of UC-FA-2-02, UC-FA-2-03 or UC-FA-2-04 only if data, gold/reference ownership, domain-review capacity, architectural value and schedule margin are demonstrated. Deferral is the default when those conditions are not met; a second vertical is outside the ten-week baseline.</w:t>
      </w:r>
    </w:p>
    <w:p>
      <w:pPr>
        <w:pStyle w:val="Heading2"/>
        <w:keepNext w:val="true"/>
        <w:widowControl/>
        <w:suppressAutoHyphens w:val="true"/>
        <w:spacing w:before="204" w:after="68"/>
        <w:rPr>
          <w:rFonts w:ascii="Arial" w:hAnsi="Arial"/>
          <w:b/>
          <w:color w:val="1F4E79"/>
          <w:sz w:val="26"/>
        </w:rPr>
      </w:pPr>
      <w:r>
        <w:rPr>
          <w:b/>
          <w:color w:val="1F4E79"/>
          <w:sz w:val="26"/>
        </w:rPr>
        <w:t>4.5 PoC X - Challenge and Decide</w:t>
      </w:r>
    </w:p>
    <w:p>
      <w:pPr>
        <w:pStyle w:val="Normal"/>
        <w:widowControl/>
        <w:suppressAutoHyphens w:val="true"/>
        <w:spacing w:lineRule="auto" w:line="268" w:before="0" w:after="68"/>
        <w:rPr>
          <w:rFonts w:ascii="Arial" w:hAnsi="Arial"/>
          <w:color w:val="263238"/>
          <w:sz w:val="20"/>
        </w:rPr>
      </w:pPr>
      <w:r>
        <w:rPr>
          <w:color w:val="263238"/>
          <w:sz w:val="20"/>
        </w:rPr>
        <w:t>Freeze the candidate pipeline, run the held-out benchmark, execute selected uncommitted FA cases as challenge probes, conduct engineer comparison exercises and prepare the evidence-based next-phase recommendation. UC-FA-2-05 and FA stretch cases remain challenge/next-phase candidates unless separately selected and resourced.</w:t>
      </w:r>
    </w:p>
    <w:p>
      <w:pPr>
        <w:pStyle w:val="Heading2"/>
        <w:keepNext w:val="true"/>
        <w:widowControl/>
        <w:suppressAutoHyphens w:val="true"/>
        <w:spacing w:before="204" w:after="68"/>
        <w:rPr>
          <w:rFonts w:ascii="Arial" w:hAnsi="Arial"/>
          <w:b/>
          <w:color w:val="1F4E79"/>
          <w:sz w:val="26"/>
        </w:rPr>
      </w:pPr>
      <w:r>
        <w:t>4.6 FA Source Synopsis and Use-Case Disposition</w:t>
      </w:r>
    </w:p>
    <w:p>
      <w:pPr>
        <w:pStyle w:val="Normal"/>
        <w:widowControl/>
        <w:suppressAutoHyphens w:val="true"/>
        <w:spacing w:lineRule="auto" w:line="268" w:before="0" w:after="170"/>
        <w:rPr>
          <w:rFonts w:ascii="Arial" w:hAnsi="Arial"/>
          <w:i/>
          <w:color w:val="168A98"/>
          <w:sz w:val="19"/>
        </w:rPr>
      </w:pPr>
      <w:r>
        <w:rPr>
          <w:b/>
          <w:bCs/>
        </w:rPr>
        <w:t>Authoritative source for this table:</w:t>
      </w:r>
      <w:r>
        <w:rPr/>
        <w:t xml:space="preserve"> Project42_UseCase_FA_A.docx, Version 0.2 — Draft, issued by the PoC Lead; issue date not stated, submission deadline 4 September 2026. FA is the source discipline code and its formal expansion requires confirmation.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FA use case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PoC disposition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Comment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UC-FA-1-01 Functional Q&amp;A</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 committed foundation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Implements cited Q&amp;A, direct evidence access and explicit not-found behaviour.</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UC-FA-2-01 Advanced query</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 bounded implementation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Provides the principal multi-source, inconsistency, recency/lineage and provenance challenge.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UC-FA-2-02 DB inconsistencies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structured ingestion and deterministic comparisons; shed before committed Find/Answer/Connect scope.</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UC-FA-2-03 SW implementation assessment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bounded design -&gt; RB -&gt; TS -&gt; code comparison and named domain review; terminology expansions remain to be confirmed.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UC-FA-2-04 Function test configuration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Conditional PoC 3 candidate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Requires as-run configuration and behaviour reconstruction; source acceptance block remains pending clarification.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UC-FA-2-05 FV test-results analysis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 adjacent track</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Substantially a test-data analytics and tool-generation use case; not an automatic commitment of the KB PoC.</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UC-FA-3-01 Design evolution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Tests authority, precedence, baseline and historical-context reasoning.</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UC-FA-3-02 Anomaly investigation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Used to assess evidence/hypothesis support without claiming autonomous root-cause capability.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UC-FA-3-03 Functional/electrical chain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Tests chain traversal and consistency; may motivate a later specialist increment.</w:t>
            </w:r>
          </w:p>
        </w:tc>
      </w:tr>
    </w:tbl>
    <w:p>
      <w:pPr>
        <w:pStyle w:val="Heading1"/>
        <w:keepNext w:val="true"/>
        <w:widowControl/>
        <w:suppressAutoHyphens w:val="true"/>
        <w:spacing w:before="272" w:after="102"/>
        <w:rPr>
          <w:rFonts w:ascii="Arial" w:hAnsi="Arial"/>
          <w:b/>
          <w:color w:val="17365D"/>
          <w:sz w:val="34"/>
        </w:rPr>
      </w:pPr>
      <w:r>
        <w:rPr>
          <w:b/>
          <w:color w:val="17365D"/>
          <w:sz w:val="34"/>
        </w:rPr>
        <w:t>5. Parallel Workstreams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Workstream</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Scope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Primary output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WS1 Corpus &amp; Ingestion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Access, inventory, parsing, tables, metadata, revisions, source navigation.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searchable corpus and corpus-characterisation report.</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WS2 Retrieval &amp; Answering</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Exact+dense retrieval, fusion, reranking, context construction, grounded generation.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Measured KB pipeline increments.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WS3 Benchmark &amp; Evaluation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Seed benchmark, synthetic cases, real questions, metrics, regression harness, dashboard.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Repeatable quality evidence and failure analysis.</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WS4 User Experience &amp; Engineering Validation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Minimal UI, source inspection, engineer studies, historical challenge cases.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of practical usefulness and trust issues.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WS5 PoC Engineering Control</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Versioning, experiment records, model/index/config management, hardware telemetry.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Reproducible experiments and audit trail.</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WS6 Portability Readiness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Audit hidden rover assumptions; record candidate reusable/profile/adapter seams; draft a post-PoC transfer-evaluation plan. No transfer claim is required.</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Portability-readiness checklist, assumption register and deferred transfer plan.</w:t>
            </w:r>
          </w:p>
        </w:tc>
      </w:tr>
    </w:tbl>
    <w:p>
      <w:pPr>
        <w:pStyle w:val="Normal"/>
        <w:widowControl/>
        <w:suppressAutoHyphens w:val="true"/>
        <w:spacing w:lineRule="auto" w:line="268" w:before="0" w:after="68"/>
        <w:rPr>
          <w:rFonts w:ascii="Arial" w:hAnsi="Arial"/>
          <w:color w:val="263238"/>
          <w:sz w:val="20"/>
        </w:rPr>
      </w:pPr>
      <w:r>
        <w:rPr>
          <w:color w:val="263238"/>
          <w:sz w:val="20"/>
        </w:rPr>
        <w:t>The workstreams are deliberately concurrent. In particular, WS3 must not wait for WS2 to be complete; the benchmark is the feedback mechanism for WS2.</w:t>
      </w:r>
    </w:p>
    <w:p>
      <w:pPr>
        <w:pStyle w:val="Heading1"/>
        <w:keepNext w:val="true"/>
        <w:widowControl/>
        <w:suppressAutoHyphens w:val="true"/>
        <w:spacing w:before="272" w:after="102"/>
        <w:rPr>
          <w:rFonts w:ascii="Arial" w:hAnsi="Arial"/>
          <w:b/>
          <w:color w:val="17365D"/>
          <w:sz w:val="34"/>
        </w:rPr>
      </w:pPr>
      <w:r>
        <w:rPr>
          <w:b/>
          <w:color w:val="17365D"/>
          <w:sz w:val="34"/>
        </w:rPr>
        <w:t>6. Benchmark and Evaluation Plan</w:t>
      </w:r>
    </w:p>
    <w:p>
      <w:pPr>
        <w:pStyle w:val="Heading2"/>
        <w:keepNext w:val="true"/>
        <w:widowControl/>
        <w:suppressAutoHyphens w:val="true"/>
        <w:spacing w:before="204" w:after="68"/>
        <w:rPr>
          <w:rFonts w:ascii="Arial" w:hAnsi="Arial"/>
          <w:b/>
          <w:color w:val="1F4E79"/>
          <w:sz w:val="26"/>
        </w:rPr>
      </w:pPr>
      <w:r>
        <w:rPr>
          <w:b/>
          <w:color w:val="1F4E79"/>
          <w:sz w:val="26"/>
        </w:rPr>
        <w:t>6.1 Benchmark role</w:t>
      </w:r>
    </w:p>
    <w:p>
      <w:pPr>
        <w:pStyle w:val="Normal"/>
        <w:widowControl/>
        <w:suppressAutoHyphens w:val="true"/>
        <w:spacing w:lineRule="auto" w:line="268" w:before="0" w:after="68"/>
        <w:rPr>
          <w:rFonts w:ascii="Arial" w:hAnsi="Arial"/>
          <w:color w:val="263238"/>
          <w:sz w:val="20"/>
        </w:rPr>
      </w:pPr>
      <w:r>
        <w:rPr>
          <w:color w:val="263238"/>
          <w:sz w:val="20"/>
        </w:rPr>
        <w:t>The benchmark is a PoC product in its own right. It supports daily/weekly engineering decisions, prevents cherry-picked demonstrations, allows regressions to be detected and provides the quantitative evidence used at the PoC exit gate.</w:t>
      </w:r>
    </w:p>
    <w:p>
      <w:pPr>
        <w:pStyle w:val="Heading2"/>
        <w:keepNext w:val="true"/>
        <w:widowControl/>
        <w:suppressAutoHyphens w:val="true"/>
        <w:spacing w:before="204" w:after="68"/>
        <w:rPr>
          <w:rFonts w:ascii="Arial" w:hAnsi="Arial"/>
          <w:b/>
          <w:color w:val="1F4E79"/>
          <w:sz w:val="26"/>
        </w:rPr>
      </w:pPr>
      <w:r>
        <w:rPr>
          <w:b/>
          <w:color w:val="1F4E79"/>
          <w:sz w:val="26"/>
        </w:rPr>
        <w:t>6.2 Initial benchmark populations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Population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size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Seed real-project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~30-50; target ~50-100 if review throughput permits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Primary grounding set:</w:t>
            </w:r>
            <w:r>
              <w:rPr/>
              <w:t xml:space="preserve"> real questions, evidence cases and known support tasks. Establish before synthetic expansion.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Controlled synthetic 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~50-100; target ~100-200; larger sets post-gate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Known truth/evidence cases used for controlled comparisons; never outweigh real-case regressions.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Historical challenge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Committed minimum ~3-5; target ~5-15</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Exploratory replay/stretch evidence; small samples support case analysis, not population claims.</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Held-out/frozen subset</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Reserved from the above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Not used for iterative tuning; used for final PoC reporting and ranking stability checks.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Cross-project / withheld-project set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Post-PoC or separately authorised aspirational extension</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Define leakage controls and evaluation design; do not make transfer a ten-week exit obligation.</w:t>
            </w:r>
          </w:p>
        </w:tc>
      </w:tr>
    </w:tbl>
    <w:p>
      <w:pPr>
        <w:pStyle w:val="Normal"/>
        <w:widowControl/>
        <w:suppressAutoHyphens w:val="true"/>
        <w:spacing w:lineRule="auto" w:line="268" w:before="0" w:after="68"/>
        <w:rPr>
          <w:rFonts w:ascii="Arial" w:hAnsi="Arial"/>
          <w:color w:val="263238"/>
          <w:sz w:val="20"/>
        </w:rPr>
      </w:pPr>
      <w:r>
        <w:t>The minimums above define a quality-controlled seed, not statistical proof. Targets depend on domain-review throughput. Counts beyond the target require a gate showing that additional cases improve coverage or decision confidence more than they consume engineering capacity. The PoC Plan is authoritative for committed case volumes; the Concepts document describes method and possible later scale.</w:t>
      </w:r>
    </w:p>
    <w:p>
      <w:pPr>
        <w:pStyle w:val="Heading2"/>
        <w:keepNext w:val="true"/>
        <w:widowControl/>
        <w:suppressAutoHyphens w:val="true"/>
        <w:spacing w:before="204" w:after="68"/>
        <w:rPr>
          <w:rFonts w:ascii="Arial" w:hAnsi="Arial"/>
          <w:b/>
          <w:color w:val="1F4E79"/>
          <w:sz w:val="26"/>
        </w:rPr>
      </w:pPr>
      <w:r>
        <w:rPr>
          <w:b/>
          <w:color w:val="1F4E79"/>
          <w:sz w:val="26"/>
        </w:rPr>
        <w:t>6.3 Capability slices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Exact identifiers and engineering terminology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Direct factual retrieval</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Tables and structured values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Requirements/interfaces/design information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and verification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Cross-document synthesis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Revision/configuration applicability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Conflict/contradiction handling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Insufficient-evidence and abstention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Selected engineering-investigation challenge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authority, confirmed/unconfirmed labelling, lineage and precedence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Design -&gt; RB requirements -&gt; TS requirements -&gt; code consistency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Test configuration reconstruction and raw/derived test evidence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Structured DB checks and deterministic protocol/data interpretation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Functional/electrical chain traversal, units, polarity and calibration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Cross-project transfer and project-profile robustness</w:t>
      </w:r>
    </w:p>
    <w:p>
      <w:pPr>
        <w:pStyle w:val="Heading2"/>
        <w:keepNext w:val="true"/>
        <w:widowControl/>
        <w:suppressAutoHyphens w:val="true"/>
        <w:spacing w:before="204" w:after="68"/>
        <w:rPr>
          <w:rFonts w:ascii="Arial" w:hAnsi="Arial"/>
          <w:b/>
          <w:color w:val="1F4E79"/>
          <w:sz w:val="26"/>
        </w:rPr>
      </w:pPr>
      <w:r>
        <w:rPr>
          <w:b/>
          <w:color w:val="1F4E79"/>
          <w:sz w:val="26"/>
        </w:rPr>
        <w:t>6.4 Core metrics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Metric</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Purpose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Recall@K</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Did retrieval surface the required evidence?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Complete Evidence Recall</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For multi-evidence cases, were all material evidence items recovered?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Ranking quality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Were the most useful pieces of evidence ranked early enough to be usable?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Answer correctness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answer reach the expected engineering conclusion or required facts?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Claim coverage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Are required claims present without omitting material qualifications?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Faithfulness / unsupported claim rate</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Are assertions supported by retrieved project evidence?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Citation/provenance accuracy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 cited sources actually support the associated claims?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Abstention correctness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system refuse/qualify appropriately when evidence is insufficient or conflicting?</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Engineer time-to-useful-evidence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Does the tool reduce the effort needed to reach useful source evidence?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Operational measures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Latency, memory use, indexing time and stability on the DGX Spark.</w:t>
            </w:r>
          </w:p>
        </w:tc>
      </w:tr>
    </w:tbl>
    <w:p>
      <w:pPr>
        <w:pStyle w:val="Heading2"/>
        <w:keepNext w:val="true"/>
        <w:widowControl/>
        <w:suppressAutoHyphens w:val="true"/>
        <w:spacing w:before="204" w:after="68"/>
        <w:rPr>
          <w:rFonts w:ascii="Arial" w:hAnsi="Arial"/>
          <w:b/>
          <w:color w:val="1F4E79"/>
          <w:sz w:val="26"/>
        </w:rPr>
      </w:pPr>
      <w:r>
        <w:rPr>
          <w:b/>
          <w:color w:val="1F4E79"/>
          <w:sz w:val="26"/>
        </w:rPr>
        <w:t>6.5 Evaluation discipline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Record the baseline before changing retrieval architecture.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Run the smoke benchmark after material code/configuration changes.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Run the larger development benchmark for architecture/model comparisons.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Inspect slice-level regressions; do not accept an overall gain that hides unacceptable degradation on critical engineering cases.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Separate retrieval failure from reasoning/generation failure.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Retain representative failure cases as regression tests.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Freeze final candidate configuration before running held-out evaluation.</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Headline PoC evidence</w:t>
            </w:r>
          </w:p>
          <w:p>
            <w:pPr>
              <w:pStyle w:val="Normal"/>
              <w:widowControl/>
              <w:suppressAutoHyphens w:val="true"/>
              <w:spacing w:lineRule="auto" w:line="252" w:before="57" w:after="57"/>
              <w:rPr>
                <w:rFonts w:ascii="Arial" w:hAnsi="Arial"/>
                <w:color w:val="17365D"/>
                <w:sz w:val="18"/>
              </w:rPr>
            </w:pPr>
            <w:r>
              <w:rPr>
                <w:color w:val="17365D"/>
                <w:sz w:val="18"/>
              </w:rPr>
              <w:t>The final PoC presentation should begin with what was tested and measured, then show representative examples. Demonstrations illustrate the numbers; they do not replace them.</w:t>
            </w:r>
          </w:p>
        </w:tc>
      </w:tr>
    </w:tbl>
    <w:p>
      <w:pPr>
        <w:pStyle w:val="Heading2"/>
        <w:keepNext w:val="true"/>
        <w:widowControl/>
        <w:suppressAutoHyphens w:val="true"/>
        <w:spacing w:before="204" w:after="68"/>
        <w:rPr>
          <w:rFonts w:ascii="Arial" w:hAnsi="Arial"/>
          <w:b/>
          <w:color w:val="1F4E79"/>
          <w:sz w:val="26"/>
        </w:rPr>
      </w:pPr>
      <w:r>
        <w:t>6.5.1 Evaluator calibration</w:t>
      </w:r>
    </w:p>
    <w:p>
      <w:pPr>
        <w:pStyle w:val="Normal"/>
        <w:widowControl/>
        <w:suppressAutoHyphens w:val="true"/>
        <w:spacing w:lineRule="auto" w:line="268" w:before="0" w:after="68"/>
        <w:contextualSpacing/>
        <w:rPr>
          <w:rFonts w:ascii="Arial" w:hAnsi="Arial"/>
          <w:color w:val="263238"/>
          <w:sz w:val="20"/>
        </w:rPr>
        <w:ind w:left="360" w:hanging="180"/>
      </w:pPr>
      <w:r>
        <w:t>• Use deterministic checks for exact evidence, identifiers, values, citations, units and known transformations wherever possible.</w:t>
      </w:r>
    </w:p>
    <w:p>
      <w:pPr>
        <w:pStyle w:val="Normal"/>
        <w:widowControl/>
        <w:suppressAutoHyphens w:val="true"/>
        <w:spacing w:lineRule="auto" w:line="268" w:before="0" w:after="68"/>
        <w:contextualSpacing/>
        <w:rPr>
          <w:rFonts w:ascii="Arial" w:hAnsi="Arial"/>
          <w:color w:val="263238"/>
          <w:sz w:val="20"/>
        </w:rPr>
        <w:ind w:left="360" w:hanging="180"/>
      </w:pPr>
      <w:r>
        <w:t>• Calibrate semantic or LLM-based judges against independent human review on a representative sample and record agreement and disagreement.</w:t>
      </w:r>
    </w:p>
    <w:p>
      <w:pPr>
        <w:pStyle w:val="Normal"/>
        <w:widowControl/>
        <w:suppressAutoHyphens w:val="true"/>
        <w:spacing w:lineRule="auto" w:line="268" w:before="0" w:after="68"/>
        <w:contextualSpacing/>
        <w:rPr>
          <w:rFonts w:ascii="Arial" w:hAnsi="Arial"/>
          <w:color w:val="263238"/>
          <w:sz w:val="20"/>
        </w:rPr>
        <w:ind w:left="360" w:hanging="180"/>
      </w:pPr>
      <w:r>
        <w:t>• Do not use the evaluated pipeline model as the sole judge; version judge models, prompts and rubrics with the benchmark.</w:t>
      </w:r>
    </w:p>
    <w:p>
      <w:pPr>
        <w:pStyle w:val="Normal"/>
        <w:widowControl/>
        <w:suppressAutoHyphens w:val="true"/>
        <w:spacing w:lineRule="auto" w:line="268" w:before="0" w:after="68"/>
        <w:contextualSpacing/>
        <w:rPr>
          <w:rFonts w:ascii="Arial" w:hAnsi="Arial"/>
          <w:color w:val="263238"/>
          <w:sz w:val="20"/>
        </w:rPr>
        <w:ind w:left="360" w:hanging="180"/>
      </w:pPr>
      <w:r>
        <w:t>• Review judge drift when benchmark or model versions change and retain adjudicated disagreements as evaluator regression cases.</w:t>
      </w:r>
    </w:p>
    <w:p>
      <w:pPr>
        <w:pStyle w:val="Heading2"/>
        <w:keepNext w:val="true"/>
        <w:widowControl/>
        <w:suppressAutoHyphens w:val="true"/>
        <w:spacing w:before="204" w:after="68"/>
        <w:rPr>
          <w:rFonts w:ascii="Arial" w:hAnsi="Arial"/>
          <w:b/>
          <w:color w:val="1F4E79"/>
          <w:sz w:val="26"/>
        </w:rPr>
      </w:pPr>
      <w:r>
        <w:t>6.5.2 Statistical interpretation</w:t>
      </w:r>
    </w:p>
    <w:p>
      <w:pPr>
        <w:pStyle w:val="Normal"/>
        <w:widowControl/>
        <w:suppressAutoHyphens w:val="true"/>
        <w:spacing w:lineRule="auto" w:line="268" w:before="0" w:after="68"/>
        <w:contextualSpacing/>
        <w:rPr>
          <w:rFonts w:ascii="Arial" w:hAnsi="Arial"/>
          <w:color w:val="263238"/>
          <w:sz w:val="20"/>
        </w:rPr>
        <w:ind w:left="360" w:hanging="180"/>
      </w:pPr>
      <w:r>
        <w:t>• Report counts, denominators and uncertainty/confidence intervals where meaningful, not percentages alone.</w:t>
      </w:r>
    </w:p>
    <w:p>
      <w:pPr>
        <w:pStyle w:val="Normal"/>
        <w:widowControl/>
        <w:suppressAutoHyphens w:val="true"/>
        <w:spacing w:lineRule="auto" w:line="268" w:before="0" w:after="68"/>
        <w:contextualSpacing/>
        <w:rPr>
          <w:rFonts w:ascii="Arial" w:hAnsi="Arial"/>
          <w:color w:val="263238"/>
          <w:sz w:val="20"/>
        </w:rPr>
        <w:ind w:left="360" w:hanging="180"/>
      </w:pPr>
      <w:r>
        <w:t>• Treat small capability slices and the historical set as exploratory case evidence unless sample sizes support a stronger conclusion.</w:t>
      </w:r>
    </w:p>
    <w:p>
      <w:pPr>
        <w:pStyle w:val="Normal"/>
        <w:widowControl/>
        <w:suppressAutoHyphens w:val="true"/>
        <w:spacing w:lineRule="auto" w:line="268" w:before="0" w:after="68"/>
        <w:contextualSpacing/>
        <w:rPr>
          <w:rFonts w:ascii="Arial" w:hAnsi="Arial"/>
          <w:color w:val="263238"/>
          <w:sz w:val="20"/>
        </w:rPr>
        <w:ind w:left="360" w:hanging="180"/>
      </w:pPr>
      <w:r>
        <w:t>• Require repeated runs for materially stochastic comparisons and report ranking stability for architecture decisions.</w:t>
      </w:r>
    </w:p>
    <w:p>
      <w:pPr>
        <w:pStyle w:val="Heading2"/>
        <w:keepNext w:val="true"/>
        <w:widowControl/>
        <w:suppressAutoHyphens w:val="true"/>
        <w:spacing w:before="204" w:after="68"/>
        <w:rPr>
          <w:rFonts w:ascii="Arial" w:hAnsi="Arial"/>
          <w:b/>
          <w:color w:val="1F4E79"/>
          <w:sz w:val="26"/>
        </w:rPr>
      </w:pPr>
      <w:r>
        <w:rPr>
          <w:b/>
          <w:color w:val="1F4E79"/>
          <w:sz w:val="26"/>
        </w:rPr>
        <w:t>6.6 FA Acceptance-Criteria Disposition</w:t>
      </w:r>
    </w:p>
    <w:p>
      <w:pPr>
        <w:pStyle w:val="Normal"/>
        <w:widowControl/>
        <w:suppressAutoHyphens w:val="true"/>
        <w:spacing w:lineRule="auto" w:line="268" w:before="0" w:after="68"/>
        <w:rPr>
          <w:rFonts w:ascii="Arial" w:hAnsi="Arial"/>
          <w:color w:val="263238"/>
          <w:sz w:val="20"/>
        </w:rPr>
      </w:pPr>
      <w:r>
        <w:rPr>
          <w:color w:val="263238"/>
          <w:sz w:val="20"/>
        </w:rPr>
        <w:t>FA acceptance criteria are valuable candidate measures, but they are not imported automatically. Each selected case requires a bounded population, a defined gold/reference process and thresholds fixed after baseline but before final tuning.</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FA criterion / issue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Disposition in this PoC</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Reason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b/>
                <w:bCs/>
              </w:rPr>
              <w:t>UC-FA-2-03:</w:t>
            </w:r>
            <w:r>
              <w:rPr>
                <w:rFonts w:eastAsia="ＭＳ 明朝" w:cs=""/>
                <w:color w:val="263238"/>
                <w:kern w:val="0"/>
                <w:sz w:val="18"/>
                <w:szCs w:val="22"/>
                <w:lang w:val="en-US" w:eastAsia="en-US" w:bidi="ar-SA"/>
              </w:rPr>
              <w:t xml:space="preserve"> implemented fix corrects anomaly in &gt;90% of cases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Do not adopt as a PoC exit threshold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Depends on external implementation, regression verification, anomaly population and correctness of the expected behaviour. Measure evidence recall, correct layer/localisation, causal explanation and true fix ranked in top-N instead.</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UC-FA-2-04 acceptance block</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Treat as mismatched pending FA clarification</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The listed automated TM-check and report criteria describe UC-FA-2-05 rather than function/test configuration reconstruction. Use configuration/test-case recall, baseline-field accuracy, observed-behaviour accuracy and citation accuracy for any UC-FA-2-04 slice.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Fixed percentages across other FA cases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 as stakeholder proposals, not inherited requirements</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The source does not yet define representative sample size, gold construction, confidence bounds or evaluation ownership consistently.</w:t>
            </w:r>
          </w:p>
        </w:tc>
      </w:tr>
    </w:tbl>
    <w:p>
      <w:pPr>
        <w:pStyle w:val="Heading2"/>
        <w:keepNext w:val="true"/>
        <w:widowControl/>
        <w:suppressAutoHyphens w:val="true"/>
        <w:spacing w:before="204" w:after="68"/>
        <w:rPr>
          <w:rFonts w:ascii="Arial" w:hAnsi="Arial"/>
          <w:b/>
          <w:color w:val="1F4E79"/>
          <w:sz w:val="26"/>
        </w:rPr>
      </w:pPr>
      <w:r>
        <w:t>6.7 Portability-Readiness Review</w:t>
      </w:r>
    </w:p>
    <w:p>
      <w:pPr>
        <w:pStyle w:val="Normal"/>
        <w:widowControl/>
        <w:suppressAutoHyphens w:val="true"/>
        <w:spacing w:lineRule="auto" w:line="268" w:before="0" w:after="170"/>
        <w:rPr>
          <w:rFonts w:ascii="Arial" w:hAnsi="Arial"/>
          <w:i/>
          <w:color w:val="168A98"/>
          <w:sz w:val="19"/>
        </w:rPr>
      </w:pPr>
      <w:r>
        <w:t>The PoC should produce evidence that the implementation has not needlessly embedded rover terminology or source-system assumptions. It shall not claim general Airbus applicability from rover results or one synthetic project. A transfer experiment is post-PoC unless separately authorised and resourced.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Readiness evidence</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rPr>
              <w:t>Purpose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Hidden-assumption audit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Identify hard-coded terms, paths, IDs, schemas and lifecycle conventions.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Candidate specialisation seams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Record which differences appear declarative, adapter-like or core concerns after corpus contact.</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Project-quality guardrail</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Show that generic refactoring has not regressed protected rover slices.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Deferred transfer design</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Define whole-project leakage controls, transfer metrics and authority needed for a later evaluation.</w:t>
            </w:r>
          </w:p>
        </w:tc>
      </w:tr>
    </w:tbl>
    <w:p>
      <w:pPr>
        <w:pStyle w:val="Heading1"/>
        <w:keepNext w:val="true"/>
        <w:widowControl/>
        <w:suppressAutoHyphens w:val="true"/>
        <w:spacing w:before="272" w:after="102"/>
        <w:rPr>
          <w:rFonts w:ascii="Arial" w:hAnsi="Arial"/>
          <w:b/>
          <w:color w:val="17365D"/>
          <w:sz w:val="34"/>
        </w:rPr>
      </w:pPr>
      <w:r>
        <w:rPr>
          <w:b/>
          <w:color w:val="17365D"/>
          <w:sz w:val="34"/>
        </w:rPr>
        <w:t>7. Indicative 10-Week Schedule</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Weeks</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Increment</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Primary activity</w:t>
            </w:r>
          </w:p>
        </w:tc>
        <w:tc>
          <w:tcPr>
            <w:tcW w:w="246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rPr>
                <w:rFonts w:eastAsia="ＭＳ 明朝" w:cs=""/>
                <w:b/>
                <w:color w:val="FFFFFF"/>
                <w:kern w:val="0"/>
                <w:sz w:val="16"/>
                <w:szCs w:val="22"/>
                <w:lang w:val="en-US" w:eastAsia="en-US" w:bidi="ar-SA"/>
              </w:rPr>
              <w:t>Exit artefact</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1-2</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0 - Measure &amp; Search</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Characterise the authorised slice; inventory authority/baseline/language metadata; ingest first sources; build baseline search; define taxonomy and quality-controlled seed benchmark.</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Working baseline + seed cases + corpus characterisation v0.</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3-5</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PoC 1 - Cited Q&amp;A</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Improve parsing/retrieval/reranking; add grounded answers, citations, source inspection, confirmed/unconfirmed labels and abstention; benchmark continuously.</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Measured cited-Q&amp;A MVP implementing bounded UC-FA-1-01.</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5-7</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PoC 2 - Advanced Multi-Source Query</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Cross-reference following; authority/lineage and revision awareness; multi-source synthesis; inconsistency and out-of-date cases; hard-case tuning.</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rPr>
                <w:rFonts w:eastAsia="ＭＳ 明朝" w:cs=""/>
                <w:color w:val="263238"/>
                <w:kern w:val="0"/>
                <w:sz w:val="16"/>
                <w:szCs w:val="22"/>
                <w:lang w:val="en-US" w:eastAsia="en-US" w:bidi="ar-SA"/>
              </w:rPr>
              <w:t>Bounded UC-FA-2-01 capability with measured slice results.</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7-9</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3 - Conditional Specialist Vertical</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Begin at most one specialist slice only if Gate 3 passes and protected work remains on plan; otherwise use the period for core hardening, evaluator calibration and benchmark coverage.</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Conditional vertical result or evidence-based deferral; core regressions closed.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9</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 Challenge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Freeze candidate; run held-out rover evaluation and selected FA challenges; conduct bounded engineer exercises; profile hardware; close critical regressions only.</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Challenge, user-evidence and hardware package.</w:t>
            </w:r>
          </w:p>
        </w:tc>
      </w:tr>
      <w:tr>
        <w:trPr>
          <w:cantSplit w:val="true"/>
        </w:trPr>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10</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 Decide</w:t>
            </w:r>
          </w:p>
        </w:tc>
        <w:tc>
          <w:tcPr>
            <w:tcW w:w="2465"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Analyse held-out, real/synthetic and operational results; document portability readiness rather than a transfer claim; consolidate decision evidence and next-phase priorities.</w:t>
            </w:r>
          </w:p>
        </w:tc>
        <w:tc>
          <w:tcPr>
            <w:tcW w:w="2464"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report, benchmark, prototype and proceed/redirect/stop recommendation.</w:t>
            </w:r>
          </w:p>
        </w:tc>
      </w:tr>
    </w:tbl>
    <w:p>
      <w:pPr>
        <w:pStyle w:val="Normal"/>
        <w:widowControl/>
        <w:suppressAutoHyphens w:val="true"/>
        <w:spacing w:lineRule="auto" w:line="268" w:before="0" w:after="68"/>
        <w:rPr>
          <w:rFonts w:ascii="Arial" w:hAnsi="Arial"/>
          <w:color w:val="263238"/>
          <w:sz w:val="20"/>
        </w:rPr>
      </w:pPr>
      <w:r>
        <w:rPr>
          <w:color w:val="263238"/>
          <w:sz w:val="20"/>
        </w:rPr>
        <w:t>The schedule is intentionally outcome-based. If corpus access or ingestion exposes major unexpected problems, the plan should protect the benchmark and evidence-retrieval objectives rather than preserve every planned feature.</w:t>
      </w:r>
    </w:p>
    <w:p>
      <w:pPr>
        <w:pStyle w:val="Normal"/>
        <w:widowControl/>
        <w:suppressAutoHyphens w:val="true"/>
        <w:spacing w:lineRule="auto" w:line="268" w:before="0" w:after="170"/>
        <w:rPr>
          <w:rFonts w:ascii="Arial" w:hAnsi="Arial"/>
          <w:i/>
          <w:color w:val="168A98"/>
          <w:sz w:val="19"/>
        </w:rPr>
      </w:pPr>
      <w:r>
        <w:t>Gate -1 occurs before Week 1. Overlapping ranges indicate deliberate hand-off and limited concurrency, not full staffing of every workstream. WS1/WS3 dominate Weeks 1-3; WS2 grows after the baseline; WS4 is scheduled in bounded review windows; WS6 remains a lightweight audit unless separately authorised.</w:t>
      </w:r>
    </w:p>
    <w:p>
      <w:pPr>
        <w:pStyle w:val="Heading1"/>
        <w:keepNext w:val="true"/>
        <w:widowControl/>
        <w:suppressAutoHyphens w:val="true"/>
        <w:spacing w:before="272" w:after="102"/>
        <w:rPr>
          <w:rFonts w:ascii="Arial" w:hAnsi="Arial"/>
          <w:b/>
          <w:color w:val="17365D"/>
          <w:sz w:val="34"/>
        </w:rPr>
      </w:pPr>
      <w:r>
        <w:rPr>
          <w:b/>
          <w:color w:val="17365D"/>
          <w:sz w:val="34"/>
        </w:rPr>
        <w:t>8. Technical Implementation Boundary</w:t>
      </w:r>
    </w:p>
    <w:p>
      <w:pPr>
        <w:pStyle w:val="Normal"/>
        <w:widowControl/>
        <w:suppressAutoHyphens w:val="true"/>
        <w:spacing w:lineRule="auto" w:line="268" w:before="0" w:after="68"/>
        <w:rPr>
          <w:rFonts w:ascii="Arial" w:hAnsi="Arial"/>
          <w:color w:val="263238"/>
          <w:sz w:val="20"/>
        </w:rPr>
      </w:pPr>
      <w:r>
        <w:rPr>
          <w:color w:val="263238"/>
          <w:sz w:val="20"/>
        </w:rPr>
        <w:t>The PoC should begin from a deliberately conventional and inspectable retrieval architecture and add complexity only when the benchmark demonstrates the need. The initial path is expected to include structured ingestion, exact/sparse retrieval, dense retrieval, fusion, reranking, evidence selection and a strong local reasoning model.</w:t>
      </w:r>
    </w:p>
    <w:p>
      <w:pPr>
        <w:pStyle w:val="Normal"/>
        <w:widowControl/>
        <w:suppressAutoHyphens w:val="true"/>
        <w:spacing w:lineRule="auto" w:line="268" w:before="0" w:after="68"/>
        <w:rPr>
          <w:rFonts w:ascii="Arial" w:hAnsi="Arial"/>
          <w:color w:val="263238"/>
          <w:sz w:val="20"/>
        </w:rPr>
      </w:pPr>
      <w:r>
        <w:rPr>
          <w:color w:val="263238"/>
          <w:sz w:val="20"/>
        </w:rPr>
        <w:t>Two limited extensions are anticipated during the PoC because they directly test the programme need: hierarchical/cross-reference retrieval and one or more bounded follow-up retrieval steps for selected multi-document cases. A comprehensive engineering knowledge graph, unrestricted agents, full multimodal drawing understanding and large-scale data analytics are deferred.</w:t>
      </w:r>
    </w:p>
    <w:p>
      <w:pPr>
        <w:pStyle w:val="Heading2"/>
        <w:keepNext w:val="true"/>
        <w:widowControl/>
        <w:suppressAutoHyphens w:val="true"/>
        <w:spacing w:before="204" w:after="68"/>
        <w:rPr>
          <w:rFonts w:ascii="Arial" w:hAnsi="Arial"/>
          <w:b/>
          <w:color w:val="1F4E79"/>
          <w:sz w:val="26"/>
        </w:rPr>
      </w:pPr>
      <w:r>
        <w:rPr>
          <w:b/>
          <w:color w:val="1F4E79"/>
          <w:sz w:val="26"/>
        </w:rPr>
        <w:t>8.1 Hardware strategy</w:t>
      </w:r>
    </w:p>
    <w:p>
      <w:pPr>
        <w:pStyle w:val="Normal"/>
        <w:widowControl/>
        <w:suppressAutoHyphens w:val="true"/>
        <w:spacing w:lineRule="auto" w:line="268" w:before="0" w:after="68"/>
        <w:rPr>
          <w:rFonts w:ascii="Arial" w:hAnsi="Arial"/>
          <w:color w:val="263238"/>
          <w:sz w:val="20"/>
        </w:rPr>
      </w:pPr>
      <w:r>
        <w:rPr>
          <w:color w:val="263238"/>
          <w:sz w:val="20"/>
        </w:rPr>
        <w:t>Use one DGX Spark as the default PoC platform. Measure unified-memory usage, latency, model residency and ingestion contention. Add or request the second Spark only if measurements show that workload separation, multimodal processing, independent verification or model capacity materially improves PoC value.</w:t>
      </w:r>
    </w:p>
    <w:p>
      <w:pPr>
        <w:pStyle w:val="Heading2"/>
        <w:keepNext w:val="true"/>
        <w:widowControl/>
        <w:suppressAutoHyphens w:val="true"/>
        <w:spacing w:before="204" w:after="68"/>
        <w:rPr>
          <w:rFonts w:ascii="Arial" w:hAnsi="Arial"/>
          <w:b/>
          <w:color w:val="1F4E79"/>
          <w:sz w:val="26"/>
        </w:rPr>
      </w:pPr>
      <w:r>
        <w:rPr>
          <w:b/>
          <w:color w:val="1F4E79"/>
          <w:sz w:val="26"/>
        </w:rPr>
        <w:t>8.2 Data and authority boundary</w:t>
      </w:r>
    </w:p>
    <w:p>
      <w:pPr>
        <w:pStyle w:val="Normal"/>
        <w:widowControl/>
        <w:suppressAutoHyphens w:val="true"/>
        <w:spacing w:lineRule="auto" w:line="268" w:before="0" w:after="68"/>
        <w:rPr>
          <w:rFonts w:ascii="Arial" w:hAnsi="Arial"/>
          <w:color w:val="263238"/>
          <w:sz w:val="20"/>
        </w:rPr>
      </w:pPr>
      <w:r>
        <w:rPr>
          <w:color w:val="263238"/>
          <w:sz w:val="20"/>
        </w:rPr>
        <w:t>Authoritative project repositories remain authoritative. The PoC stores derived indexes, parsed representations and benchmark artefacts. Source identity, revision and provenance should be preserved from ingestion onward.</w:t>
      </w:r>
    </w:p>
    <w:p>
      <w:pPr>
        <w:pStyle w:val="Heading1"/>
        <w:keepNext w:val="true"/>
        <w:widowControl/>
        <w:suppressAutoHyphens w:val="true"/>
        <w:spacing w:before="272" w:after="102"/>
        <w:rPr>
          <w:rFonts w:ascii="Arial" w:hAnsi="Arial"/>
          <w:b/>
          <w:color w:val="17365D"/>
          <w:sz w:val="34"/>
        </w:rPr>
      </w:pPr>
      <w:r>
        <w:rPr>
          <w:b/>
          <w:color w:val="17365D"/>
          <w:sz w:val="34"/>
        </w:rPr>
        <w:t>9. AI-Assisted Development Strategy</w:t>
      </w:r>
    </w:p>
    <w:p>
      <w:pPr>
        <w:pStyle w:val="Normal"/>
        <w:widowControl/>
        <w:suppressAutoHyphens w:val="true"/>
        <w:spacing w:lineRule="auto" w:line="268" w:before="0" w:after="68"/>
        <w:rPr>
          <w:rFonts w:ascii="Arial" w:hAnsi="Arial"/>
          <w:color w:val="263238"/>
          <w:sz w:val="20"/>
        </w:rPr>
      </w:pPr>
      <w:r>
        <w:rPr>
          <w:color w:val="263238"/>
          <w:sz w:val="20"/>
        </w:rPr>
        <w:t>A substantial proportion of PoC design and software development should be AI-assisted in order to increase iteration speed with a small team. AI assistance is a development accelerator; reproducibility, automated tests, benchmark results and engineer review remain the controls.</w:t>
      </w:r>
    </w:p>
    <w:p>
      <w:pPr>
        <w:pStyle w:val="Heading2"/>
        <w:keepNext w:val="true"/>
        <w:widowControl/>
        <w:suppressAutoHyphens w:val="true"/>
        <w:spacing w:before="204" w:after="68"/>
        <w:rPr>
          <w:rFonts w:ascii="Arial" w:hAnsi="Arial"/>
          <w:b/>
          <w:color w:val="1F4E79"/>
          <w:sz w:val="26"/>
        </w:rPr>
      </w:pPr>
      <w:r>
        <w:rPr>
          <w:b/>
          <w:color w:val="1F4E79"/>
          <w:sz w:val="26"/>
        </w:rPr>
        <w:t>9.1 Suitable AI-assisted activities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architecture option exploration and technical trade analyses;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 scaffolding, integration, refactoring and documentation;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parser and ingestion adapter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unit/integration test generation;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benchmark case and synthetic mini-project generation;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failure clustering and benchmark error analysis;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prompt/evaluation rubric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experiment summarisation and comparison;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UI/API development;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creation and maintenance of technical documentation.</w:t>
      </w:r>
    </w:p>
    <w:p>
      <w:pPr>
        <w:pStyle w:val="Heading2"/>
        <w:keepNext w:val="true"/>
        <w:widowControl/>
        <w:suppressAutoHyphens w:val="true"/>
        <w:spacing w:before="204" w:after="68"/>
        <w:rPr>
          <w:rFonts w:ascii="Arial" w:hAnsi="Arial"/>
          <w:b/>
          <w:color w:val="1F4E79"/>
          <w:sz w:val="26"/>
        </w:rPr>
      </w:pPr>
      <w:r>
        <w:rPr>
          <w:b/>
          <w:color w:val="1F4E79"/>
          <w:sz w:val="26"/>
        </w:rPr>
        <w:t>9.2 Development control loop</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Preferred AI-assisted engineering loop</w:t>
            </w:r>
          </w:p>
          <w:p>
            <w:pPr>
              <w:pStyle w:val="Normal"/>
              <w:widowControl/>
              <w:suppressAutoHyphens w:val="true"/>
              <w:spacing w:lineRule="auto" w:line="252" w:before="57" w:after="57"/>
              <w:rPr>
                <w:rFonts w:ascii="Arial" w:hAnsi="Arial"/>
                <w:color w:val="17365D"/>
                <w:sz w:val="18"/>
              </w:rPr>
            </w:pPr>
            <w:r>
              <w:rPr>
                <w:color w:val="17365D"/>
                <w:sz w:val="18"/>
              </w:rPr>
              <w:t>Engineer defines objective and acceptance test -&gt; AI proposes or implements a change -&gt; automated tests and benchmark run -&gt; results and regressions are inspected -&gt; engineer accepts, rejects or redirects -&gt; configuration and experiment record are preserved.</w:t>
            </w:r>
          </w:p>
        </w:tc>
      </w:tr>
    </w:tbl>
    <w:p>
      <w:pPr>
        <w:pStyle w:val="Heading2"/>
        <w:keepNext w:val="true"/>
        <w:widowControl/>
        <w:suppressAutoHyphens w:val="true"/>
        <w:spacing w:before="204" w:after="68"/>
        <w:rPr>
          <w:rFonts w:ascii="Arial" w:hAnsi="Arial"/>
          <w:b/>
          <w:color w:val="1F4E79"/>
          <w:sz w:val="26"/>
        </w:rPr>
      </w:pPr>
      <w:r>
        <w:rPr>
          <w:b/>
          <w:color w:val="1F4E79"/>
          <w:sz w:val="26"/>
        </w:rPr>
        <w:t>9.3 Guardrails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No AI-generated change is considered an improvement without test/benchmark evidence appropriate to the change.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Generated code must be reviewable, version-controlled and covered by automated tests proportionate to its role.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Critical benchmark scoring logic must itself be tested to avoid optimising against evaluator bugs.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AI-generated synthetic benchmark cases must retain machine-readable ground truth and pass independent validation/gating.</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Model suggestions must not silently introduce unapproved external data or services into a controlled environment.</w:t>
      </w:r>
    </w:p>
    <w:p>
      <w:pPr>
        <w:pStyle w:val="Heading1"/>
        <w:keepNext w:val="true"/>
        <w:widowControl/>
        <w:suppressAutoHyphens w:val="true"/>
        <w:spacing w:before="272" w:after="102"/>
        <w:rPr>
          <w:rFonts w:ascii="Arial" w:hAnsi="Arial"/>
          <w:b/>
          <w:color w:val="17365D"/>
          <w:sz w:val="34"/>
        </w:rPr>
      </w:pPr>
      <w:r>
        <w:rPr>
          <w:b/>
          <w:color w:val="17365D"/>
          <w:sz w:val="34"/>
        </w:rPr>
        <w:t>10. Team and Resource Plan</w:t>
      </w:r>
    </w:p>
    <w:p>
      <w:pPr>
        <w:pStyle w:val="Normal"/>
        <w:widowControl/>
        <w:suppressAutoHyphens w:val="true"/>
        <w:spacing w:lineRule="auto" w:line="268" w:before="0" w:after="68"/>
        <w:rPr>
          <w:rFonts w:ascii="Arial" w:hAnsi="Arial"/>
          <w:color w:val="263238"/>
          <w:sz w:val="20"/>
        </w:rPr>
      </w:pPr>
      <w:r>
        <w:rPr>
          <w:color w:val="263238"/>
          <w:sz w:val="20"/>
        </w:rPr>
        <w:t>A credible planning assumption is a small core team with targeted domain support rather than a large development organisation.</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Role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Planning level</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Focus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AI/RAG technical lead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~1 FTE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Architecture, retrieval/generation, experiments, technical integration, benchmark interpretation.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Software/data engineer</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~1 FTE</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Corpus integration, ingestion, metadata, services, UI/API, reproducibility and deployment.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Additional technical engineer</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0-1 FTE depending availability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automation, UI, data engineering, test automation or specialist integration.</w:t>
            </w:r>
          </w:p>
        </w:tc>
      </w:tr>
      <w:tr>
        <w:trPr>
          <w:cantSplit w:val="true"/>
        </w:trPr>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Rover/domain engineers</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Part-time / scheduled review</w:t>
            </w:r>
          </w:p>
        </w:tc>
        <w:tc>
          <w:tcPr>
            <w:tcW w:w="3286"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questions, source/evidence judgement, historical cases, failure review and user study.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Programme/security/configuration support</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As needed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Data access, information governance, repository and configuration-management constraints.</w:t>
            </w:r>
          </w:p>
        </w:tc>
      </w:tr>
    </w:tbl>
    <w:p>
      <w:pPr>
        <w:pStyle w:val="Normal"/>
        <w:widowControl/>
        <w:suppressAutoHyphens w:val="true"/>
        <w:spacing w:lineRule="auto" w:line="268" w:before="0" w:after="68"/>
        <w:rPr>
          <w:rFonts w:ascii="Arial" w:hAnsi="Arial"/>
          <w:color w:val="263238"/>
          <w:sz w:val="20"/>
        </w:rPr>
      </w:pPr>
      <w:r>
        <w:rPr>
          <w:color w:val="263238"/>
          <w:sz w:val="20"/>
        </w:rPr>
        <w:t>The plan assumes AI-assisted development is used extensively. This is intended to increase the effective throughput of the small technical team, not to remove engineering ownership.</w:t>
      </w:r>
    </w:p>
    <w:p>
      <w:pPr>
        <w:pStyle w:val="Heading2"/>
        <w:keepNext w:val="true"/>
        <w:widowControl/>
        <w:suppressAutoHyphens w:val="true"/>
        <w:spacing w:before="204" w:after="68"/>
        <w:rPr>
          <w:rFonts w:ascii="Arial" w:hAnsi="Arial"/>
          <w:b/>
          <w:color w:val="1F4E79"/>
          <w:sz w:val="26"/>
        </w:rPr>
      </w:pPr>
      <w:r>
        <w:t>10.1 Domain-review and tacit-knowledge plan</w:t>
      </w:r>
    </w:p>
    <w:p>
      <w:pPr>
        <w:pStyle w:val="Normal"/>
        <w:widowControl/>
        <w:suppressAutoHyphens w:val="true"/>
        <w:spacing w:lineRule="auto" w:line="268" w:before="0" w:after="170"/>
        <w:rPr>
          <w:rFonts w:ascii="Arial" w:hAnsi="Arial"/>
          <w:i/>
          <w:color w:val="168A98"/>
          <w:sz w:val="19"/>
        </w:rPr>
      </w:pPr>
      <w:r>
        <w:t>Before Week 1, nominate an engineering focal role and pre-book evidence/gold review sessions. Conduct a small number of structured elicitation sessions with senior or departing engineers. Treat recollections as unconfirmed/contextual evidence until corroborated, while using them to identify terminology, design decisions and candidate benchmark cases.</w:t>
      </w:r>
    </w:p>
    <w:p>
      <w:pPr>
        <w:pStyle w:val="Heading2"/>
        <w:keepNext w:val="true"/>
        <w:widowControl/>
        <w:suppressAutoHyphens w:val="true"/>
        <w:spacing w:before="204" w:after="68"/>
        <w:rPr>
          <w:rFonts w:ascii="Arial" w:hAnsi="Arial"/>
          <w:b/>
          <w:color w:val="1F4E79"/>
          <w:sz w:val="26"/>
        </w:rPr>
      </w:pPr>
      <w:r>
        <w:t>10.2 Capacity, budget and procurement assumptions</w:t>
      </w:r>
    </w:p>
    <w:p>
      <w:pPr>
        <w:pStyle w:val="Normal"/>
        <w:widowControl/>
        <w:suppressAutoHyphens w:val="true"/>
        <w:spacing w:lineRule="auto" w:line="268" w:before="0" w:after="170"/>
        <w:rPr>
          <w:rFonts w:ascii="Arial" w:hAnsi="Arial"/>
          <w:i/>
          <w:color w:val="168A98"/>
          <w:sz w:val="19"/>
        </w:rPr>
      </w:pPr>
      <w:r>
        <w:t>The ten-week plan assumes the DGX Spark, approved storage, repository access and required software are available without procurement lead time. Any second Spark, licensed parser/model, storage expansion or external support requires a separate decision and shall not be assumed in the committed scope.</w:t>
      </w:r>
    </w:p>
    <w:p>
      <w:pPr>
        <w:pStyle w:val="Heading1"/>
        <w:keepNext w:val="true"/>
        <w:widowControl/>
        <w:suppressAutoHyphens w:val="true"/>
        <w:spacing w:before="272" w:after="102"/>
        <w:rPr>
          <w:rFonts w:ascii="Arial" w:hAnsi="Arial"/>
          <w:b/>
          <w:color w:val="17365D"/>
          <w:sz w:val="34"/>
        </w:rPr>
      </w:pPr>
      <w:r>
        <w:rPr>
          <w:b/>
          <w:color w:val="17365D"/>
          <w:sz w:val="34"/>
        </w:rPr>
        <w:t>11. PoC Deliverables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ID</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Deliverable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D1</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Working KB PoC prototype on the selected DGX Spark platform.</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D2</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ingested corpus slice with documented source inventory and ingestion limitations.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D3</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Reusable benchmark/evaluation harness and versioned benchmark datasets.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D4</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dashboard/report covering retrieval, answer quality, grounding, abstention, capability slices and operational performance.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D5</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Historical/challenge-case assessment and engineer feedback.</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D6</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Experiment history showing major architecture/model decisions and measured effects.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D7</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b/>
                <w:bCs/>
              </w:rPr>
              <w:t>PoC final report:</w:t>
            </w:r>
            <w:r>
              <w:rPr>
                <w:rFonts w:eastAsia="ＭＳ 明朝" w:cs=""/>
                <w:color w:val="263238"/>
                <w:kern w:val="0"/>
                <w:sz w:val="18"/>
                <w:szCs w:val="22"/>
                <w:lang w:val="en-US" w:eastAsia="en-US" w:bidi="ar-SA"/>
              </w:rPr>
              <w:t xml:space="preserve"> what works, what does not, failure modes, hardware observations, risks and recommendation.</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D8</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Prioritised next-phase backlog mapped back to the programme-level MVP ladder.</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D9</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 use-case selection and disposition record, including data readiness, benchmark definition and reasons for implementation, challenge-only treatment or deferral.</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D10</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Acceptance-criteria cross-check recording any FA thresholds refined, rejected or left pending clarification.</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D11</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Compact portability-readiness audit:</w:t>
            </w:r>
            <w:r>
              <w:rPr/>
              <w:t xml:space="preserve"> hidden assumptions, candidate specialisation seams and rover regression guardrails. Conditional deliverable; not a transfer claim.</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D12</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Post-PoC transfer-evaluation plan defining project holdout, leakage controls, metrics, authority and resource needs. No transfer report is required in the committed PoC.</w:t>
            </w:r>
          </w:p>
        </w:tc>
      </w:tr>
    </w:tbl>
    <w:p>
      <w:pPr>
        <w:pStyle w:val="Heading1"/>
        <w:keepNext w:val="true"/>
        <w:widowControl/>
        <w:suppressAutoHyphens w:val="true"/>
        <w:spacing w:before="272" w:after="102"/>
        <w:rPr>
          <w:rFonts w:ascii="Arial" w:hAnsi="Arial"/>
          <w:b/>
          <w:color w:val="17365D"/>
          <w:sz w:val="34"/>
        </w:rPr>
      </w:pPr>
      <w:r>
        <w:rPr>
          <w:b/>
          <w:color w:val="17365D"/>
          <w:sz w:val="34"/>
        </w:rPr>
        <w:t>12. Decision Gates and Exit Criteria</w:t>
      </w:r>
    </w:p>
    <w:p>
      <w:pPr>
        <w:pStyle w:val="Normal"/>
        <w:widowControl/>
        <w:suppressAutoHyphens w:val="true"/>
        <w:spacing w:lineRule="auto" w:line="268" w:before="0" w:after="68"/>
        <w:rPr>
          <w:rFonts w:ascii="Arial" w:hAnsi="Arial"/>
          <w:color w:val="263238"/>
          <w:sz w:val="20"/>
        </w:rPr>
      </w:pPr>
      <w:r>
        <w:rPr>
          <w:color w:val="263238"/>
          <w:sz w:val="20"/>
        </w:rPr>
        <w:t>Exact numerical thresholds should not be frozen before the seed benchmark and baseline expose the real corpus difficulty. The following gates define the evidence that should exist, not arbitrary target percentages.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rPr>
              <w:t>Gate</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b/>
                <w:bCs/>
              </w:rPr>
              <w:t>Evidence required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-1 - Ready to start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Corpus slice authorised; processing environment approved; repository/data owners identified; classification/export/IP constraints recorded; engineering focal and review slots confirmed.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0 - Baseline exists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Representative evidence is searchable; source authority vocabulary is usable; seed benchmark and metrics run reproducibly; simple baseline recorded.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1 - Cited Q&amp;A is trustworthy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Material evidence is recovered; answers are grounded; citations are inspectable; confirmed/unconfirmed status and insufficient evidence are handled explicitly.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2 - Advanced query adds value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Selected multi-source questions demonstrate synthesis, visible conflicts and revision/lineage reasoning beyond straightforward Q&amp;A without unacceptable grounding loss.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3 - Conditional vertical is justified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One candidate has adequate data, gold/reference ownership, named domain review, architectural value, protected core status and remaining capacity. Otherwise it is deferred without failing the core PoC.</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Gate X - PoC decision</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Held-out rover results, evaluator validity, challenge cases, engineer assessment, acceptance-criteria disposition and hardware evidence support proceed / redirect / stop. Portability output is limited to readiness evidence and transfer risks.</w:t>
            </w:r>
          </w:p>
        </w:tc>
      </w:tr>
    </w:tbl>
    <w:p>
      <w:pPr>
        <w:pStyle w:val="Heading2"/>
        <w:keepNext w:val="true"/>
        <w:widowControl/>
        <w:suppressAutoHyphens w:val="true"/>
        <w:spacing w:before="204" w:after="68"/>
        <w:rPr>
          <w:rFonts w:ascii="Arial" w:hAnsi="Arial"/>
          <w:b/>
          <w:color w:val="1F4E79"/>
          <w:sz w:val="26"/>
        </w:rPr>
      </w:pPr>
      <w:r>
        <w:rPr>
          <w:b/>
          <w:color w:val="1F4E79"/>
          <w:sz w:val="26"/>
        </w:rPr>
        <w:t>12.1 Candidate quantitative indicators</w:t>
      </w:r>
    </w:p>
    <w:p>
      <w:pPr>
        <w:pStyle w:val="Normal"/>
        <w:widowControl/>
        <w:suppressAutoHyphens w:val="true"/>
        <w:spacing w:lineRule="auto" w:line="268" w:before="0" w:after="68"/>
        <w:rPr>
          <w:rFonts w:ascii="Arial" w:hAnsi="Arial"/>
          <w:color w:val="263238"/>
          <w:sz w:val="20"/>
        </w:rPr>
      </w:pPr>
      <w:r>
        <w:rPr>
          <w:color w:val="263238"/>
          <w:sz w:val="20"/>
        </w:rPr>
        <w:t>Candidate indicators to baseline and then set target thresholds against include Evidence Recall@20, Complete Evidence Recall, answer correctness, unsupported material claim rate, citation accuracy, correct abstention, cross-document success rate and median engineer time-to-useful-evidence. Targets should be fixed after baseline measurement and before final tuning.</w:t>
      </w:r>
    </w:p>
    <w:p>
      <w:pPr>
        <w:pStyle w:val="Normal"/>
        <w:widowControl/>
        <w:suppressAutoHyphens w:val="true"/>
        <w:spacing w:lineRule="auto" w:line="268" w:before="0" w:after="170"/>
        <w:rPr>
          <w:rFonts w:ascii="Arial" w:hAnsi="Arial"/>
          <w:i/>
          <w:color w:val="168A98"/>
          <w:sz w:val="19"/>
        </w:rPr>
      </w:pPr>
      <w:r>
        <w:t>Thresholds shall be fixed after the baseline and before final tuning. Each reported result shall include its denominator, evaluator version and uncertainty where meaningful.</w:t>
      </w:r>
    </w:p>
    <w:p>
      <w:pPr>
        <w:pStyle w:val="Heading2"/>
        <w:keepNext w:val="true"/>
        <w:widowControl/>
        <w:suppressAutoHyphens w:val="true"/>
        <w:spacing w:before="204" w:after="68"/>
        <w:rPr>
          <w:rFonts w:ascii="Arial" w:hAnsi="Arial"/>
          <w:b/>
          <w:color w:val="1F4E79"/>
          <w:sz w:val="26"/>
        </w:rPr>
      </w:pPr>
      <w:r>
        <w:t>12.2 Gate ownership</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Decision role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Planning level</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Gate responsibility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Project sponsor / investment 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before Gate -1</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start conditions and Gate X proceed/redirect/stop decision.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Technical lead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Owns technical evidence and recommends increment progression.</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Benchmark owner independent of day-to-day tuning</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or formally delegated</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case changes, evaluator calibration, holdout integrity and benchmark acceptance.</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Engineering focal / authority</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part-time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representative questions, evidence interpretation and specialist-domain readiness.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Information-security / data owner</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Named by role</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Approves corpus, environment and access constraints at Gate -1.</w:t>
            </w:r>
          </w:p>
        </w:tc>
      </w:tr>
    </w:tbl>
    <w:p>
      <w:pPr>
        <w:pStyle w:val="Heading1"/>
        <w:keepNext w:val="true"/>
        <w:widowControl/>
        <w:suppressAutoHyphens w:val="true"/>
        <w:spacing w:before="272" w:after="102"/>
        <w:rPr>
          <w:rFonts w:ascii="Arial" w:hAnsi="Arial"/>
          <w:b/>
          <w:color w:val="17365D"/>
          <w:sz w:val="34"/>
        </w:rPr>
      </w:pPr>
      <w:r>
        <w:rPr>
          <w:b/>
          <w:color w:val="17365D"/>
          <w:sz w:val="34"/>
        </w:rPr>
        <w:t>13. Risks and Mitigations</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Risk</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Mitigation</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Corpus authorisation or environment approval delays start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Treat authorised corpus and accredited environment as Gate -1 preconditions; do not consume the ten-week clock waiting for approval.</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Parsing quality dominates results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parsing/evidence extraction early; preserve page/source fallback; prioritise high-value document types.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Synthetic benchmark is too clean or generator-specific</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Establish real cases first; vary generators, styles and terminology; test lexical shortcuts; report real and synthetic results separately.</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overfitting</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Use frozen/held-out cases and hold out entire synthetic mini-projects where practical.</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Model demos distract from retrieval</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Report retrieval and evidence sufficiency separately; do not tune generation until evidence retrieval is measured.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AI-assisted development creates unstable code</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Version control, automated tests, small changes, benchmark gates and explicit experiment records.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Scope expands toward full anomaly diagnosis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Treat investigation as challenge testing only; protect Find/Answer/Connect exit objectives.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Single Spark performance is insufficient</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Measure bottleneck; optimise selectively; introduce second Spark only with demonstrated need.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 labels create implicit nine-use-case commitment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Publish the staged disposition table; select specialist verticals only at Gate 3; report challenge cases separately from delivered capabilities.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Raw test/DB/code data preparation consumes the PoC</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Require a data-readiness check before selecting a specialist vertical and preserve cited-Q&amp;A/advanced-query exit objectives.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Pipeline or benchmark overfits the rover project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Audit hard-coded assumptions and protect project boundaries in splits; defer formal transfer measurement until a separate project-level evaluation is authorised.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Genericity reduces critical project quality</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Treat rover slices as regression guardrails; permit explicit project-specific configuration; reject generic refactoring that materially harms protected cases.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Premature abstraction or adapter divergence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Discover seams from corpus evidence; do not freeze the shared contract in Weeks 1-2; require later ADR and regression evidence for adapters/forks.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Domain-expert availability or attention is insufficient</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Nominate a focal role; pre-book bounded review slots; use review packs; reduce annotation targets before reducing evidence quality.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Evaluator or LLM-judge bias drives false improvements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Prefer deterministic scoring; calibrate against humans; use an independent judge; version rubrics and retain disagreement cases.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Non-English or mixed-language evidence is missed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Characterise language distribution at PoC 0; include a representative language slice or declare unsupported languages explicitly.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Budget/procurement assumption fails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List required hardware, storage, licences and support at Gate -1; treat unapproved purchases as constraints, not hidden dependencies.</w:t>
            </w:r>
          </w:p>
        </w:tc>
      </w:tr>
    </w:tbl>
    <w:p>
      <w:pPr>
        <w:pStyle w:val="Heading1"/>
        <w:keepNext w:val="true"/>
        <w:widowControl/>
        <w:suppressAutoHyphens w:val="true"/>
        <w:spacing w:before="272" w:after="102"/>
        <w:rPr>
          <w:rFonts w:ascii="Arial" w:hAnsi="Arial"/>
          <w:b/>
          <w:color w:val="17365D"/>
          <w:sz w:val="34"/>
        </w:rPr>
      </w:pPr>
      <w:r>
        <w:rPr>
          <w:b/>
          <w:color w:val="17365D"/>
          <w:sz w:val="34"/>
        </w:rPr>
        <w:t>14. Configuration, Reproducibility and Experiment Control</w:t>
      </w:r>
    </w:p>
    <w:p>
      <w:pPr>
        <w:pStyle w:val="Normal"/>
        <w:widowControl/>
        <w:suppressAutoHyphens w:val="true"/>
        <w:spacing w:lineRule="auto" w:line="268" w:before="0" w:after="68"/>
        <w:rPr>
          <w:rFonts w:ascii="Arial" w:hAnsi="Arial"/>
          <w:color w:val="263238"/>
          <w:sz w:val="20"/>
        </w:rPr>
      </w:pPr>
      <w:r>
        <w:rPr>
          <w:color w:val="263238"/>
          <w:sz w:val="20"/>
        </w:rPr>
        <w:t>The PoC should make it possible to reproduce any headline result. At minimum, each benchmark run should identify: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source corpus snapshot or index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document parser/extraction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chunking/context strategy;</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embedding model and parameters;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sparse retrieval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fusion and reranker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generation model and quantisation/runtime;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prompts/system instructions;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benchmark dataset version;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scoring/evaluator versions;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hardware configuration;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code commit identifier.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project-profile, adapter and evidence-contract versions;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project identity and whether the run is development, transfer-before-adaptation or post-adaptation;</w:t>
      </w:r>
    </w:p>
    <w:p>
      <w:pPr>
        <w:pStyle w:val="Normal"/>
        <w:widowControl/>
        <w:suppressAutoHyphens w:val="true"/>
        <w:spacing w:lineRule="auto" w:line="268" w:before="0" w:after="68"/>
        <w:rPr>
          <w:rFonts w:ascii="Arial" w:hAnsi="Arial"/>
          <w:color w:val="263238"/>
          <w:sz w:val="20"/>
        </w:rPr>
      </w:pPr>
      <w:r>
        <w:rPr>
          <w:color w:val="263238"/>
          <w:sz w:val="20"/>
        </w:rPr>
        <w:t>Experiment metadata need not be administratively heavy; a machine-generated manifest attached to each benchmark run is preferable to manual reporting.</w:t>
      </w:r>
    </w:p>
    <w:p>
      <w:pPr>
        <w:pStyle w:val="Heading1"/>
        <w:keepNext w:val="true"/>
        <w:widowControl/>
        <w:suppressAutoHyphens w:val="true"/>
        <w:spacing w:before="272" w:after="102"/>
        <w:rPr>
          <w:rFonts w:ascii="Arial" w:hAnsi="Arial"/>
          <w:b/>
          <w:color w:val="17365D"/>
          <w:sz w:val="34"/>
        </w:rPr>
      </w:pPr>
      <w:r>
        <w:rPr>
          <w:b/>
          <w:color w:val="17365D"/>
          <w:sz w:val="34"/>
        </w:rPr>
        <w:t>15. Open Decisions for Brainstorming</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subsystem(s) or engineering areas provide the best representative initial corpus while still giving access to knowledgeable reviewers?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real ESA/support questions can be collected without excessive manual curation?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historical resolved anomalies would make good challenge cases without requiring large external datasets?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document families must be present in the PoC for colleagues to consider it representative?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How much drawing/code coverage is essential to avoid an artificially easy PoC?</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existing search/repository tool should be treated as the practical baseline for engineer-effort comparison?</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level of citation granularity do engineers actually need: document/page, section, table/cell, source-code line?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minimum improvement in time-to-useful-evidence would make the capability operationally interesting?</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owns benchmark acceptance and prevents the development team from silently tuning away difficult cases?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information-security boundary applies to AI-assisted software development and benchmark generation?</w:t>
      </w:r>
    </w:p>
    <w:p>
      <w:pPr>
        <w:pStyle w:val="Normal"/>
        <w:widowControl/>
        <w:suppressAutoHyphens w:val="true"/>
        <w:spacing w:lineRule="auto" w:line="268" w:before="0" w:after="68"/>
        <w:rPr>
          <w:rFonts w:ascii="Arial" w:hAnsi="Arial"/>
          <w:color w:val="263238"/>
          <w:sz w:val="20"/>
        </w:rPr>
      </w:pPr>
      <w:r>
        <w:rPr>
          <w:color w:val="263238"/>
          <w:sz w:val="20"/>
        </w:rPr>
      </w:r>
      <w:r>
        <w:br w:type="page"/>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of UC-FA-2-02, UC-FA-2-03 and UC-FA-2-04 provides the best first specialist vertical after data-readiness and gold-set review?</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in FA owns clarification of the UC-FA-2-04 acceptance criteria and approval of the revised benchmark measures?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objective characteristics define 'sufficiently similar' for the first portability claim?</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Which independent synthetic project and which real Airbus project, if available, should be reserved as whole-project holdouts?</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What transfer gap, adaptation effort and specialisation gain would justify calling the capability reusable?</w:t>
      </w:r>
    </w:p>
    <w:p>
      <w:pPr>
        <w:pStyle w:val="ListNumber"/>
        <w:widowControl/>
        <w:numPr>
          <w:ilvl w:val="0"/>
          <w:numId w:val="4"/>
        </w:numPr>
        <w:suppressAutoHyphens w:val="true"/>
        <w:spacing w:lineRule="auto" w:line="268" w:before="0" w:after="68"/>
        <w:contextualSpacing/>
        <w:rPr>
          <w:rFonts w:ascii="Arial" w:hAnsi="Arial"/>
          <w:color w:val="263238"/>
          <w:sz w:val="20"/>
        </w:rPr>
      </w:pPr>
      <w:r>
        <w:rPr>
          <w:color w:val="263238"/>
          <w:sz w:val="20"/>
        </w:rPr>
        <w:t>Who owns the shared core and project-profile interface after the PoC?</w:t>
      </w:r>
    </w:p>
    <w:p>
      <w:pPr>
        <w:pStyle w:val="Heading1"/>
        <w:keepNext w:val="true"/>
        <w:widowControl/>
        <w:suppressAutoHyphens w:val="true"/>
        <w:spacing w:before="272" w:after="102"/>
        <w:rPr>
          <w:rFonts w:ascii="Arial" w:hAnsi="Arial"/>
          <w:b/>
          <w:color w:val="17365D"/>
          <w:sz w:val="34"/>
        </w:rPr>
      </w:pPr>
      <w:r>
        <w:t>16. Maturity and Architecture Mapping</w:t>
      </w:r>
    </w:p>
    <w:tbl>
      <w:tblPr>
        <w:tblStyle w:val="TableGrid"/>
        <w:tblW w:w="9860"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2465"/>
        <w:gridCol w:w="2465"/>
        <w:gridCol w:w="2465"/>
        <w:gridCol w:w="2464"/>
      </w:tblGrid>
      <w:tr>
        <w:trPr>
          <w:tblHeader w:val="true"/>
          <w:cantSplit w:val="true"/>
        </w:trPr>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t>Programme maturity</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t>PoC increment</w:t>
            </w:r>
          </w:p>
        </w:tc>
        <w:tc>
          <w:tcPr>
            <w:tcW w:w="2465"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t>Architecture increment</w:t>
            </w:r>
          </w:p>
        </w:tc>
        <w:tc>
          <w:tcPr>
            <w:tcW w:w="2464"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6"/>
                <w:szCs w:val="22"/>
                <w:lang w:val="en-US" w:eastAsia="en-US" w:bidi="ar-SA"/>
              </w:rPr>
            </w:pPr>
            <w:r>
              <w:t>Commitment</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0 - Find</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0</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A0 Baseline search / A1 Hybrid retrieval</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1 - Answer</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1</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A2 Grounded answer</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Bounded MVP 2 - Connect</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2</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A3 Bounded Connect</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Committed, bounded</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3 specialist assurance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3</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Selected specialist mechanism</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Conditional</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MVP 4 investigation</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PoC X challenge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A4 Challenge investigation</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Challenge/post-PoC</w:t>
            </w:r>
          </w:p>
        </w:tc>
      </w:tr>
      <w:tr>
        <w:trPr>
          <w:cantSplit w:val="true"/>
        </w:trPr>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Cross-project reuse</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Readiness audit only</w:t>
            </w:r>
          </w:p>
        </w:tc>
        <w:tc>
          <w:tcPr>
            <w:tcW w:w="2465"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Post-PoC architecture</w:t>
            </w:r>
          </w:p>
        </w:tc>
        <w:tc>
          <w:tcPr>
            <w:tcW w:w="2464"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6"/>
                <w:szCs w:val="22"/>
                <w:lang w:val="en-US" w:eastAsia="en-US" w:bidi="ar-SA"/>
              </w:rPr>
            </w:pPr>
            <w:r>
              <w:t>Post-PoC</w:t>
            </w:r>
          </w:p>
        </w:tc>
      </w:tr>
    </w:tbl>
    <w:p>
      <w:pPr>
        <w:pStyle w:val="Heading1"/>
        <w:keepNext w:val="true"/>
        <w:widowControl/>
        <w:suppressAutoHyphens w:val="true"/>
        <w:spacing w:before="272" w:after="102"/>
        <w:rPr>
          <w:rFonts w:ascii="Arial" w:hAnsi="Arial"/>
          <w:b/>
          <w:color w:val="17365D"/>
          <w:sz w:val="34"/>
        </w:rPr>
      </w:pPr>
      <w:r>
        <w:rPr>
          <w:b/>
          <w:color w:val="17365D"/>
          <w:sz w:val="34"/>
        </w:rPr>
        <w:t>Appendix A. Definition of Done by PoC Increment</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Increment</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Definition of Done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0</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Evidence subset versioned; authority/baseline metadata characterised; baseline search runs; seed benchmark executes end-to-end; baseline metrics stored.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1</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Cited answers produced from selected evidence; exact provenance validated; confirmed/unconfirmed and abstention metrics available; engineer review workflow usable.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2</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Selected advanced multi-source cases solved with explicit evidence chain; conflict, lineage/revision and synthesis failure modes measured.</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PoC 3</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At most one conditional specialist vertical executed against pre-declared metrics, or explicitly deferred at Gate 3 without failing the committed PoC.</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PoC X</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Candidate frozen; held-out benchmark run for final report; FA challenge cases completed; acceptance-criteria disposition and next-phase recommendation approved for review.</w:t>
            </w:r>
          </w:p>
        </w:tc>
      </w:tr>
    </w:tbl>
    <w:p>
      <w:pPr>
        <w:pStyle w:val="Heading1"/>
        <w:keepNext w:val="true"/>
        <w:widowControl/>
        <w:suppressAutoHyphens w:val="true"/>
        <w:spacing w:before="272" w:after="102"/>
        <w:rPr>
          <w:rFonts w:ascii="Arial" w:hAnsi="Arial"/>
          <w:b/>
          <w:color w:val="17365D"/>
          <w:sz w:val="34"/>
        </w:rPr>
      </w:pPr>
      <w:r>
        <w:rPr>
          <w:b/>
          <w:color w:val="17365D"/>
          <w:sz w:val="34"/>
        </w:rPr>
        <w:t>Appendix B. Suggested Experiment Record</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4929"/>
        <w:gridCol w:w="4928"/>
      </w:tblGrid>
      <w:tr>
        <w:trPr>
          <w:tblHeader w:val="true"/>
          <w:cantSplit w:val="true"/>
        </w:trPr>
        <w:tc>
          <w:tcPr>
            <w:tcW w:w="4929"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Field</w:t>
            </w:r>
          </w:p>
        </w:tc>
        <w:tc>
          <w:tcPr>
            <w:tcW w:w="4928"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rPr>
                <w:rFonts w:eastAsia="ＭＳ 明朝" w:cs=""/>
                <w:b/>
                <w:color w:val="FFFFFF"/>
                <w:kern w:val="0"/>
                <w:sz w:val="18"/>
                <w:szCs w:val="22"/>
                <w:lang w:val="en-US" w:eastAsia="en-US" w:bidi="ar-SA"/>
              </w:rPr>
              <w:t>Content</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Experiment ID</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Unique identifier</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Hypothesis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What change is expected to improve and why?</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Change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Code/config/model/index change</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Benchmark version</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Dataset/split used</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Baseline</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Run used for comparison</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Primary metrics</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Metrics expected to improve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Guardrail metrics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Metrics that must not regress materially</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Result</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Measured delta with denominator, uncertainty/confidence interval where meaningful, and capability-slice regressions.</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Failure notes</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Representative regressions/errors</w:t>
            </w:r>
          </w:p>
        </w:tc>
      </w:tr>
      <w:tr>
        <w:trPr>
          <w:cantSplit w:val="true"/>
        </w:trPr>
        <w:tc>
          <w:tcPr>
            <w:tcW w:w="4929"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Decision</w:t>
            </w:r>
          </w:p>
        </w:tc>
        <w:tc>
          <w:tcPr>
            <w:tcW w:w="4928" w:type="dxa"/>
            <w:tcBorders/>
            <w:shd w:fill="F4F8FB"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Accept / reject / investigate</w:t>
            </w:r>
          </w:p>
        </w:tc>
      </w:tr>
      <w:tr>
        <w:trPr>
          <w:cantSplit w:val="true"/>
        </w:trPr>
        <w:tc>
          <w:tcPr>
            <w:tcW w:w="4929"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Reproducibility</w:t>
            </w:r>
          </w:p>
        </w:tc>
        <w:tc>
          <w:tcPr>
            <w:tcW w:w="4928"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rFonts w:eastAsia="ＭＳ 明朝" w:cs=""/>
                <w:color w:val="263238"/>
                <w:kern w:val="0"/>
                <w:sz w:val="18"/>
                <w:szCs w:val="22"/>
                <w:lang w:val="en-US" w:eastAsia="en-US" w:bidi="ar-SA"/>
              </w:rPr>
              <w:t>Code commit + run manifest</w:t>
            </w:r>
          </w:p>
        </w:tc>
      </w:tr>
    </w:tbl>
    <w:p>
      <w:pPr>
        <w:pStyle w:val="Heading1"/>
        <w:keepNext w:val="true"/>
        <w:widowControl/>
        <w:suppressAutoHyphens w:val="true"/>
        <w:spacing w:before="272" w:after="102"/>
        <w:rPr>
          <w:rFonts w:ascii="Arial" w:hAnsi="Arial"/>
          <w:b/>
          <w:color w:val="17365D"/>
          <w:sz w:val="34"/>
        </w:rPr>
      </w:pPr>
      <w:r>
        <w:rPr>
          <w:b/>
          <w:color w:val="17365D"/>
          <w:sz w:val="34"/>
        </w:rPr>
        <w:t>Appendix C. Seed Benchmark Case Structure</w:t>
      </w:r>
    </w:p>
    <w:p>
      <w:pPr>
        <w:pStyle w:val="Normal"/>
        <w:widowControl/>
        <w:suppressAutoHyphens w:val="true"/>
        <w:spacing w:lineRule="auto" w:line="268" w:before="0" w:after="68"/>
        <w:rPr>
          <w:rFonts w:ascii="Arial" w:hAnsi="Arial"/>
          <w:color w:val="263238"/>
          <w:sz w:val="20"/>
        </w:rPr>
      </w:pPr>
      <w:r>
        <w:rPr>
          <w:color w:val="263238"/>
          <w:sz w:val="20"/>
        </w:rPr>
        <w:t>A seed case should be lightweight enough to create quickly but structured enough to support retrieval and answer evaluation. Suggested fields are: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case identifier and capability class;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engineering question or observation;</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answerability status;</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known relevant/required evidence locations where available;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required facts or claims rather than only one prose reference answer;</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important conditions or configuration context;</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rPr>
        <w:t xml:space="preserve">• </w:t>
      </w:r>
      <w:r>
        <w:rPr>
          <w:color w:val="263238"/>
          <w:sz w:val="20"/>
        </w:rPr>
        <w:t>expected conflict/insufficient-evidence behaviour where applicable;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source of the case:</w:t>
      </w:r>
      <w:r>
        <w:rPr>
          <w:color w:val="263238"/>
          <w:sz w:val="20"/>
        </w:rPr>
        <w:t xml:space="preserve"> real, synthetic or historical challenge;</w:t>
      </w:r>
    </w:p>
    <w:p>
      <w:pPr>
        <w:pStyle w:val="Normal"/>
        <w:widowControl/>
        <w:suppressAutoHyphens w:val="true"/>
        <w:spacing w:lineRule="auto" w:line="268" w:before="0" w:after="68"/>
        <w:contextualSpacing/>
        <w:rPr>
          <w:rFonts w:ascii="Arial" w:hAnsi="Arial"/>
          <w:color w:val="263238"/>
          <w:sz w:val="20"/>
        </w:rPr>
        <w:ind w:left="360" w:hanging="180"/>
      </w:pPr>
      <w:r>
        <w:rPr>
          <w:color w:val="263238"/>
          <w:sz w:val="20"/>
          <w:b/>
          <w:bCs/>
        </w:rPr>
        <w:t>• difficulty tags:</w:t>
      </w:r>
      <w:r>
        <w:rPr>
          <w:color w:val="263238"/>
          <w:sz w:val="20"/>
        </w:rPr>
        <w:t xml:space="preserve"> table, multi-document, revision, exact identifier, etc.</w:t>
      </w:r>
    </w:p>
    <w:tbl>
      <w:tblPr>
        <w:tblW w:w="9859"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9859"/>
      </w:tblGrid>
      <w:tr>
        <w:trPr>
          <w:cantSplit w:val="true"/>
        </w:trPr>
        <w:tc>
          <w:tcPr>
            <w:tcW w:w="9859" w:type="dxa"/>
            <w:tcBorders>
              <w:top w:val="single" w:sz="8" w:space="0" w:color="2F5597"/>
              <w:left w:val="single" w:sz="8" w:space="0" w:color="2F5597"/>
              <w:bottom w:val="single" w:sz="8" w:space="0" w:color="2F5597"/>
              <w:right w:val="single" w:sz="8" w:space="0" w:color="2F5597"/>
            </w:tcBorders>
            <w:shd w:fill="EAF2F8" w:val="clear"/>
          </w:tcPr>
          <w:p>
            <w:pPr>
              <w:pStyle w:val="Normal"/>
              <w:widowControl/>
              <w:suppressAutoHyphens w:val="true"/>
              <w:spacing w:lineRule="auto" w:line="252" w:before="57" w:after="57"/>
              <w:rPr>
                <w:rFonts w:ascii="Arial" w:hAnsi="Arial"/>
                <w:color w:val="17365D"/>
                <w:sz w:val="18"/>
              </w:rPr>
            </w:pPr>
            <w:r>
              <w:rPr>
                <w:b/>
                <w:color w:val="17365D"/>
                <w:sz w:val="18"/>
              </w:rPr>
              <w:t>Final implementation principle</w:t>
            </w:r>
          </w:p>
          <w:p>
            <w:pPr>
              <w:pStyle w:val="Normal"/>
              <w:widowControl/>
              <w:suppressAutoHyphens w:val="true"/>
              <w:spacing w:lineRule="auto" w:line="252" w:before="57" w:after="57"/>
              <w:rPr>
                <w:rFonts w:ascii="Arial" w:hAnsi="Arial"/>
                <w:color w:val="17365D"/>
                <w:sz w:val="18"/>
              </w:rPr>
            </w:pPr>
            <w:r>
              <w:rPr>
                <w:color w:val="17365D"/>
                <w:sz w:val="18"/>
              </w:rPr>
              <w:t>AI should help the team iterate rapidly; the benchmark should tell the team whether those iterations actually improve engineering capability.</w:t>
            </w:r>
          </w:p>
        </w:tc>
      </w:tr>
    </w:tbl>
    <w:p>
      <w:pPr>
        <w:pStyle w:val="Heading1"/>
        <w:keepNext w:val="true"/>
        <w:widowControl/>
        <w:suppressAutoHyphens w:val="true"/>
        <w:spacing w:before="272" w:after="102"/>
        <w:rPr>
          <w:rFonts w:ascii="Arial" w:hAnsi="Arial"/>
          <w:b/>
          <w:color w:val="17365D"/>
          <w:sz w:val="34"/>
        </w:rPr>
        <w:pageBreakBefore/>
      </w:pPr>
      <w:r>
        <w:rPr>
          <w:b/>
          <w:color w:val="17365D"/>
          <w:sz w:val="34"/>
        </w:rPr>
        <w:t>Revision History</w:t>
      </w:r>
    </w:p>
    <w:tbl>
      <w:tblPr>
        <w:tblStyle w:val="TableGrid"/>
        <w:tblW w:w="9858" w:type="dxa"/>
        <w:jc w:val="center"/>
        <w:tblInd w:w="0" w:type="dxa"/>
        <w:tblLayout w:type="fixed"/>
        <w:tblCellMar>
          <w:top w:w="65" w:type="dxa"/>
          <w:left w:w="65" w:type="dxa"/>
          <w:bottom w:w="65" w:type="dxa"/>
          <w:right w:w="65" w:type="dxa"/>
        </w:tblCellMar>
        <w:tblLook w:val="04a0" w:noHBand="0" w:noVBand="1" w:firstColumn="1" w:lastRow="0" w:lastColumn="0" w:firstRow="1"/>
      </w:tblPr>
      <w:tblGrid>
        <w:gridCol w:w="3286"/>
        <w:gridCol w:w="3286"/>
        <w:gridCol w:w="3286"/>
      </w:tblGrid>
      <w:tr>
        <w:trPr>
          <w:tblHeader w:val="true"/>
          <w:cantSplit w:val="true"/>
        </w:trPr>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Version</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Date</w:t>
            </w:r>
          </w:p>
        </w:tc>
        <w:tc>
          <w:tcPr>
            <w:tcW w:w="3286" w:type="dxa"/>
            <w:tcBorders/>
            <w:shd w:fill="17365D" w:val="clear"/>
            <w:vAlign w:val="center"/>
          </w:tcPr>
          <w:p>
            <w:pPr>
              <w:pStyle w:val="Normal"/>
              <w:widowControl/>
              <w:suppressAutoHyphens w:val="true"/>
              <w:spacing w:lineRule="auto" w:line="252" w:before="40" w:after="40"/>
              <w:jc w:val="left"/>
              <w:rPr>
                <w:rFonts w:ascii="Arial" w:hAnsi="Arial" w:eastAsia="ＭＳ 明朝" w:cs=""/>
                <w:b/>
                <w:color w:val="FFFFFF"/>
                <w:kern w:val="0"/>
                <w:sz w:val="18"/>
                <w:szCs w:val="22"/>
                <w:lang w:val="en-US" w:eastAsia="en-US" w:bidi="ar-SA"/>
              </w:rPr>
            </w:pPr>
            <w:r>
              <w:t>Summary</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0.1</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Initial PoC implementation-plan working draft.</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0.2</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FA use cases staged as benchmark scenarios and candidate verticals.</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0.3</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Cross-project portability and controlled project-profile concepts added.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0.4</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Visual hierarchy and pagination refined;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0.5</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Explicit bullet markers and consistent emphasis restored;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Header, footer and bottom-page geometry updated; engineering content unchanged.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0.7</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Title-page tables aligned and revision history moved to the document end.</w:t>
            </w:r>
          </w:p>
        </w:tc>
      </w:tr>
      <w:tr>
        <w:trPr>
          <w:cantSplit w:val="true"/>
        </w:trPr>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0.8</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t>20 August 2026</w:t>
            </w:r>
          </w:p>
        </w:tc>
        <w:tc>
          <w:tcPr>
            <w:tcW w:w="3286" w:type="dxa"/>
            <w:tcBorders/>
            <w:shd w:fill="FFFFFF" w:val="clear"/>
            <w:vAlign w:val="center"/>
          </w:tcPr>
          <w:p>
            <w:pPr>
              <w:pStyle w:val="Normal"/>
              <w:widowControl/>
              <w:suppressAutoHyphens w:val="true"/>
              <w:spacing w:lineRule="auto" w:line="252" w:before="40" w:after="40"/>
              <w:jc w:val="left"/>
              <w:rPr>
                <w:rFonts w:ascii="Arial" w:hAnsi="Arial" w:eastAsia="ＭＳ 明朝" w:cs=""/>
                <w:color w:val="263238"/>
                <w:kern w:val="0"/>
                <w:sz w:val="18"/>
                <w:szCs w:val="22"/>
                <w:lang w:val="en-US" w:eastAsia="en-US" w:bidi="ar-SA"/>
              </w:rPr>
            </w:pPr>
            <w:r>
              <w:rPr>
                <w:b/>
                <w:bCs/>
              </w:rPr>
              <w:t>Audit response:</w:t>
            </w:r>
            <w:r>
              <w:rPr/>
              <w:t xml:space="preserve"> tiered scope, Gate -1, benchmark authority, evaluator controls, ownership, staffing and portability readiness.</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935" w:top="1539" w:footer="562" w:bottom="1397"/>
      <w:pgNumType w:fmt="decimal"/>
      <w:formProt w:val="false"/>
      <w:textDirection w:val="lrTb"/>
      <w:docGrid w:type="default" w:linePitch="360" w:charSpace="286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rlito">
    <w:altName w:val="Calibri"/>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color w:val="5B6570"/>
        <w:sz w:val="16"/>
      </w:rPr>
    </w:pPr>
    <w:r>
      <w:rPr>
        <w:rFonts w:ascii="Arial" w:hAnsi="Arial"/>
        <w:color w:val="5B6570"/>
        <w:sz w:val="16"/>
      </w:rPr>
      <w:t>Draft for Review  |  Version 0.8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17</w:t>
    </w:r>
    <w:r>
      <w:rPr>
        <w:sz w:val="16"/>
        <w:rFonts w:ascii="Arial" w:hAnsi="Arial"/>
        <w:color w:val="5B657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rPr>
        <w:rFonts w:ascii="Arial" w:hAnsi="Arial"/>
        <w:color w:val="5B6570"/>
        <w:sz w:val="16"/>
      </w:rPr>
    </w:pPr>
    <w:r>
      <w:rPr>
        <w:rFonts w:ascii="Arial" w:hAnsi="Arial"/>
        <w:color w:val="5B6570"/>
        <w:sz w:val="16"/>
      </w:rPr>
      <w:t>Draft for Review  |  Version 0.8  |  20 August 2026</w:t>
    </w:r>
  </w:p>
  <w:p>
    <w:pPr>
      <w:pStyle w:val="SmallText"/>
      <w:spacing w:before="0" w:after="40"/>
      <w:jc w:val="right"/>
      <w:rPr>
        <w:rFonts w:ascii="Arial" w:hAnsi="Arial"/>
        <w:color w:val="5B6570"/>
        <w:sz w:val="16"/>
      </w:rPr>
    </w:pPr>
    <w:r>
      <w:rPr>
        <w:rFonts w:ascii="Arial" w:hAnsi="Arial"/>
        <w:color w:val="5B6570"/>
        <w:sz w:val="16"/>
      </w:rPr>
      <w:t xml:space="preserve">Page </w:t>
    </w:r>
    <w:r>
      <w:rPr>
        <w:rFonts w:ascii="Arial" w:hAnsi="Arial"/>
        <w:color w:val="5B6570"/>
        <w:sz w:val="16"/>
      </w:rPr>
      <w:fldChar w:fldCharType="begin"/>
    </w:r>
    <w:r>
      <w:rPr>
        <w:sz w:val="16"/>
        <w:rFonts w:ascii="Arial" w:hAnsi="Arial"/>
        <w:color w:val="5B6570"/>
      </w:rPr>
      <w:instrText xml:space="preserve"> PAGE </w:instrText>
    </w:r>
    <w:r>
      <w:rPr>
        <w:sz w:val="16"/>
        <w:rFonts w:ascii="Arial" w:hAnsi="Arial"/>
        <w:color w:val="5B6570"/>
      </w:rPr>
      <w:fldChar w:fldCharType="separate"/>
    </w:r>
    <w:r>
      <w:rPr>
        <w:sz w:val="16"/>
        <w:rFonts w:ascii="Arial" w:hAnsi="Arial"/>
        <w:color w:val="5B6570"/>
      </w:rPr>
      <w:t>17</w:t>
    </w:r>
    <w:r>
      <w:rPr>
        <w:sz w:val="16"/>
        <w:rFonts w:ascii="Arial" w:hAnsi="Arial"/>
        <w:color w:val="5B657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Proof of Concept Implementation Plan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mallText"/>
      <w:pBdr>
        <w:bottom w:val="single" w:sz="4" w:space="1" w:color="B7C9D6"/>
      </w:pBdr>
      <w:spacing w:before="0" w:after="40"/>
      <w:rPr>
        <w:rFonts w:ascii="Arial" w:hAnsi="Arial"/>
        <w:color w:val="1F4E79"/>
        <w:sz w:val="16"/>
      </w:rPr>
    </w:pPr>
    <w:r>
      <w:rPr>
        <w:rFonts w:ascii="Arial" w:hAnsi="Arial"/>
        <w:color w:val="1F4E79"/>
        <w:sz w:val="16"/>
      </w:rPr>
      <w:t>KB Project - Proof of Concept Implementation Plan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68"/>
      <w:jc w:val="left"/>
    </w:pPr>
    <w:rPr>
      <w:rFonts w:ascii="Arial" w:hAnsi="Arial" w:eastAsia="ＭＳ 明朝" w:cs="" w:cstheme="minorBidi" w:eastAsiaTheme="minorEastAsia"/>
      <w:color w:val="263238"/>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272" w:after="102"/>
      <w:outlineLvl w:val="0"/>
    </w:pPr>
    <w:rPr>
      <w:rFonts w:ascii="Arial" w:hAnsi="Arial" w:eastAsia="ＭＳ ゴシック" w:cs="" w:cstheme="majorBidi" w:eastAsiaTheme="majorEastAsia"/>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widowControl/>
      <w:spacing w:before="204" w:after="68"/>
      <w:outlineLvl w:val="1"/>
    </w:pPr>
    <w:rPr>
      <w:rFonts w:ascii="Arial" w:hAnsi="Arial" w:eastAsia="ＭＳ ゴシック" w:cs="" w:cstheme="majorBidi" w:eastAsiaTheme="majorEastAsia"/>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159" w:after="51"/>
      <w:outlineLvl w:val="2"/>
    </w:pPr>
    <w:rPr>
      <w:rFonts w:ascii="Arial" w:hAnsi="Arial" w:eastAsia="ＭＳ ゴシック" w:cs="" w:cstheme="majorBidi" w:eastAsiaTheme="majorEastAsia"/>
      <w:b/>
      <w:bCs/>
      <w:color w:val="168A98"/>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widowControl/>
      <w:spacing w:lineRule="auto" w:line="268" w:before="0" w:after="68"/>
    </w:pPr>
    <w:rPr>
      <w:rFonts w:ascii="Arial" w:hAnsi="Arial"/>
      <w:color w:val="263238"/>
      <w:sz w:val="20"/>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539" w:after="68"/>
      <w:contextualSpacing/>
    </w:pPr>
    <w:rPr>
      <w:rFonts w:ascii="Arial" w:hAnsi="Arial" w:eastAsia="ＭＳ ゴシック" w:cs="" w:cstheme="majorBidi" w:eastAsiaTheme="majorEastAsia"/>
      <w:b/>
      <w:color w:val="17365D"/>
      <w:spacing w:val="5"/>
      <w:kern w:val="2"/>
      <w:sz w:val="58"/>
      <w:szCs w:val="52"/>
    </w:rPr>
  </w:style>
  <w:style w:type="paragraph" w:styleId="Subtitle">
    <w:name w:val="Subtitle"/>
    <w:basedOn w:val="Normal"/>
    <w:next w:val="Normal"/>
    <w:link w:val="SubtitleChar"/>
    <w:uiPriority w:val="11"/>
    <w:qFormat/>
    <w:rsid w:val="00fc693f"/>
    <w:pPr>
      <w:keepNext w:val="true"/>
      <w:spacing w:before="0" w:after="147"/>
    </w:pPr>
    <w:rPr>
      <w:rFonts w:ascii="Arial" w:hAnsi="Arial" w:eastAsia="ＭＳ ゴシック" w:cs="" w:cstheme="majorBidi" w:eastAsiaTheme="majorEastAsia"/>
      <w:b w:val="false"/>
      <w:i/>
      <w:iCs/>
      <w:color w:val="1F4E79"/>
      <w:spacing w:val="15"/>
      <w:sz w:val="32"/>
      <w:szCs w:val="24"/>
    </w:rPr>
  </w:style>
  <w:style w:type="paragraph" w:styleId="ListParagraph">
    <w:name w:val="List Paragraph"/>
    <w:basedOn w:val="Normal"/>
    <w:uiPriority w:val="34"/>
    <w:qFormat/>
    <w:rsid w:val="00fc693f"/>
    <w:pPr>
      <w:widowControl/>
      <w:spacing w:lineRule="auto" w:line="259" w:before="0" w:after="31"/>
      <w:ind w:left="720"/>
      <w:contextualSpacing/>
    </w:pPr>
    <w:rPr>
      <w:rFonts w:ascii="Arial" w:hAnsi="Arial"/>
      <w:color w:val="263238"/>
      <w:sz w:val="19"/>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widowControl/>
      <w:numPr>
        <w:ilvl w:val="0"/>
        <w:numId w:val="1"/>
      </w:numPr>
      <w:spacing w:lineRule="auto" w:line="259" w:before="0" w:after="31"/>
      <w:contextualSpacing/>
    </w:pPr>
    <w:rPr>
      <w:rFonts w:ascii="Arial" w:hAnsi="Arial"/>
      <w:color w:val="263238"/>
      <w:sz w:val="19"/>
    </w:rPr>
  </w:style>
  <w:style w:type="paragraph" w:styleId="ListBullet2">
    <w:name w:val="List Bullet 2"/>
    <w:basedOn w:val="Normal"/>
    <w:uiPriority w:val="99"/>
    <w:unhideWhenUsed/>
    <w:rsid w:val="00326f90"/>
    <w:pPr>
      <w:widowControl/>
      <w:numPr>
        <w:ilvl w:val="0"/>
        <w:numId w:val="2"/>
      </w:numPr>
      <w:spacing w:lineRule="auto" w:line="259" w:before="0" w:after="31"/>
      <w:contextualSpacing/>
    </w:pPr>
    <w:rPr>
      <w:rFonts w:ascii="Arial" w:hAnsi="Arial"/>
      <w:color w:val="263238"/>
      <w:sz w:val="19"/>
    </w:rPr>
  </w:style>
  <w:style w:type="paragraph" w:styleId="ListBullet3">
    <w:name w:val="List Bullet 3"/>
    <w:basedOn w:val="Normal"/>
    <w:uiPriority w:val="99"/>
    <w:unhideWhenUsed/>
    <w:rsid w:val="00326f90"/>
    <w:pPr>
      <w:widowControl/>
      <w:numPr>
        <w:ilvl w:val="0"/>
        <w:numId w:val="3"/>
      </w:numPr>
      <w:spacing w:lineRule="auto" w:line="259" w:before="0" w:after="31"/>
      <w:contextualSpacing/>
    </w:pPr>
    <w:rPr>
      <w:rFonts w:ascii="Arial" w:hAnsi="Arial"/>
      <w:color w:val="263238"/>
      <w:sz w:val="19"/>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Text" w:customStyle="1">
    <w:name w:val="Small Text"/>
    <w:qFormat/>
    <w:pPr>
      <w:widowControl/>
      <w:bidi w:val="0"/>
      <w:spacing w:lineRule="auto" w:line="276" w:before="0" w:after="40"/>
      <w:jc w:val="left"/>
    </w:pPr>
    <w:rPr>
      <w:rFonts w:ascii="Carlito" w:hAnsi="Carlito" w:eastAsia="ＭＳ 明朝" w:cs=""/>
      <w:color w:val="5A5A5A"/>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LibreOffice/24.2.7.2$Linux_AARCH64 LibreOffice_project/420$Build-2</Application>
  <AppVersion>15.0000</AppVersion>
  <Pages>17</Pages>
  <Words>4875</Words>
  <Characters>32649</Characters>
  <CharactersWithSpaces>36901</CharactersWithSpaces>
  <Paragraphs>522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Draft for review - Version 0.1</dc:description>
  <cp:keywords>KB Project engineering knowledge ESA ECSS RAG AI knowledge base</cp:keywords>
  <dc:language>en-US</dc:language>
  <cp:lastModifiedBy/>
  <dcterms:modified xsi:type="dcterms:W3CDTF">2026-08-20T12:00:00Z</dcterms:modified>
  <cp:revision>2</cp:revision>
  <dc:subject>Initial working document for stakeholder review</dc:subject>
  <dc:title>KB Project - Project Definition, Needs and High-Level Requirements</dc:title>
</cp:coreProperties>
</file>

<file path=docProps/custom.xml><?xml version="1.0" encoding="utf-8"?>
<Properties xmlns="http://schemas.openxmlformats.org/officeDocument/2006/custom-properties" xmlns:vt="http://schemas.openxmlformats.org/officeDocument/2006/docPropsVTypes"/>
</file>