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jc w:val="center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Davi Deosmar Batista Oliveira Miranda – RA: 823.212.282</w:t>
        <w:br w:type="textWrapping"/>
        <w:t xml:space="preserve">Silas Rodrigues Nascimento – RA: 823.273.38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Plano de Continuidade de Negócios (BCP) </w:t>
      </w:r>
    </w:p>
    <w:p w:rsidR="00000000" w:rsidDel="00000000" w:rsidP="00000000" w:rsidRDefault="00000000" w:rsidRPr="00000000" w14:paraId="00000003">
      <w:pPr>
        <w:pStyle w:val="Heading2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Histórico de versão</w:t>
      </w:r>
    </w:p>
    <w:tbl>
      <w:tblPr>
        <w:tblStyle w:val="Table1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3"/>
        <w:gridCol w:w="1534"/>
        <w:gridCol w:w="5669"/>
        <w:tblGridChange w:id="0">
          <w:tblGrid>
            <w:gridCol w:w="1653"/>
            <w:gridCol w:w="1534"/>
            <w:gridCol w:w="56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18/11/2025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Elaboração do Plano de Continuidade de Negócios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1"/>
        </w:numPr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Introdução da empresa e seu cenário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</w:rPr>
      </w:pPr>
      <w:bookmarkStart w:colFirst="0" w:colLast="0" w:name="_heading=h.lnhd0rrhr4w2" w:id="0"/>
      <w:bookmarkEnd w:id="0"/>
      <w:r w:rsidDel="00000000" w:rsidR="00000000" w:rsidRPr="00000000">
        <w:rPr>
          <w:rFonts w:ascii="Cambria" w:cs="Cambria" w:eastAsia="Cambria" w:hAnsi="Cambria"/>
          <w:rtl w:val="0"/>
        </w:rPr>
        <w:t xml:space="preserve">A empresa internacional de Cloud Computing atua globalmente fornecendo serviços de infraestrutura em nuvem, incluindo máquinas virtuais, bancos de dados, armazenamento escalável e soluções corporativas sob demanda.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matriz está localizada em Los Angeles (EUA) e conta com filiais distribuídas estrategicamente em São Paulo, Nova York, Estocolmo, Buenos Aires e outras capitais globais. Cada filial mantém datacenters robustos que hospedam os serviços dos clientes de acordo com a região escolhida para garantir baixa latência, melhor desempenho e conformidade regulatória local.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Toda a infraestrutura é monitorada continuamente e cada filial envia métricas de utilização, capacidade, segurança e performance para a matriz, que centraliza a análise e coordena ações preventivas e corretivas.</w:t>
      </w:r>
    </w:p>
    <w:p w:rsidR="00000000" w:rsidDel="00000000" w:rsidP="00000000" w:rsidRDefault="00000000" w:rsidRPr="00000000" w14:paraId="0000000F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Objetivo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jc w:val="left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O objetivo geral deste documento é propor um conjunto de planos que possibilitem a disponibilidade dos serviços essenciais envolvendo TI durante as mais diversas situações de falhas e interrupções.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jc w:val="left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Benefícios esperados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jc w:val="left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Com a implementação deste conjunto de planos espera-se obter os seguintes benefícios: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jc w:val="left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jc w:val="left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a) capacidade de identificação proativa dos impactos de uma interrupção operacional;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jc w:val="left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b)capacidade de resposta eficiente às interrupções, o que minimiza o impacto à organização;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jc w:val="left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c) capacidade de gerenciar os riscos que não podem ser segurados;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jc w:val="left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d)infraestrutura mais resiliente e segura;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jc w:val="left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e) redução do impacto nos negócios;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jc w:val="left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f) restauração de serviços, sistemas e soluções de TI de forma mais rápida;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jc w:val="left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g)redução no volume de incidentes que impactam o negócio;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jc w:val="left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h)antecipação aos problemas;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jc w:val="left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i) minimização de interrupções dos serviços e sistemas; e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jc w:val="left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j) capacidade de demonstrar uma resposta possível por meio de um processo de testes.</w:t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2. Recursos críticos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Datacenters regionais com energia redundante, climatização e segurança física.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Hypervisors, clusters de virtualização e sistemas de orquestração de máquinas virtuais.</w:t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Rede global com comunicação criptografada e links redundantes.</w:t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Firewalls, IDS/IPS, WAF e sistemas de segurança cibernética.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Plataformas de banco de dados, armazenamento em blocos, objetos e arquivos.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Dashboard corporativo com métricas e telemetria em tempo real.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Equipes de engenharia, SRE, segurança e suporte técnico 24/7.</w:t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Sistemas de automação de criação, escalabilidade e distribuição de workloads.</w:t>
      </w:r>
    </w:p>
    <w:p w:rsidR="00000000" w:rsidDel="00000000" w:rsidP="00000000" w:rsidRDefault="00000000" w:rsidRPr="00000000" w14:paraId="00000029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3. Análise de Impacto nos Negócios (BIA)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Impactos avaliados:</w:t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Queda total de um datacenter regional: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– Impacto: Crítico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– Consequências: interrupção de serviços regionais, violação de SLA, impacto financeiro.</w:t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• Congestionamento ou falha em backbone de rede global:</w:t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– Impacto: Alto</w:t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– Consequências: lentidão, interrupções na comunicação entre regiões.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• Comprometimento de dados ou incidentes de segurança:</w:t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– Impacto: Crítico</w:t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– Consequências: inviabilização dos serviços, danos à reputação e risco legal.</w:t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• Interrupção de sistemas de gerenciamento de instâncias:</w:t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– Impacto: Alto</w:t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– Consequências: falha na criação e manutenção de recursos críticos.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• Falha de equipe técnica essencial por indisponibilidade ou emergência:</w:t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– Impacto: Médio/Alto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– Consequências: demora na resposta a incidentes.</w:t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4. Estratégias de recuperação propostas</w:t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Redundância geográfica entre datacenters com replicação síncrona e assíncrona.</w:t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Failover automatizado com balanceamento inteligente entre regiões próximas.</w:t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Backups contínuos (hourly snapshots) e backups externos (off-site).</w:t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Firewall em alta disponibilidade e múltiplos provedores de internet.</w:t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Esteiras de CI/CD com rollback automático em caso de falha crítica.</w:t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Monitoramento 24/7 com dashboards, alertas e inteligência de ameaças.</w:t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Plano de recuperação de desastres (DRP) com:</w:t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– RTO: 4 horas</w:t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– RPO: 5 a 15 minutos</w:t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Treinamento anual obrigatório para equipes de emergência.</w:t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Execução de simulações de ataques e falhas massivas (chaos engineering).</w:t>
      </w:r>
    </w:p>
    <w:p w:rsidR="00000000" w:rsidDel="00000000" w:rsidP="00000000" w:rsidRDefault="00000000" w:rsidRPr="00000000" w14:paraId="00000047">
      <w:pPr>
        <w:pStyle w:val="Heading2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5. Plano de ação detalhado</w:t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 Identificação imediata do incidente via alertas e logs.</w:t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 Classificação do nível do incidente (baixo, moderado, alto, crítico).</w:t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 Notificação da equipe de resposta e acionamento do comitê de crise.</w:t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4. Contenção inicial: isolamento da região, bloqueio de usuários/fluxos suspeitos, ativação de redundâncias.</w:t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5. Recuperação primária: failover para ambiente secundário.</w:t>
      </w:r>
    </w:p>
    <w:p w:rsidR="00000000" w:rsidDel="00000000" w:rsidP="00000000" w:rsidRDefault="00000000" w:rsidRPr="00000000" w14:paraId="0000004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6. Restauração de sistemas e dados utilizando backups validados.</w:t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 Verificação de integridade: auditoria pós-incidente e testes de estabilidade.</w:t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8. Retorno ao ambiente original após validação técnica.</w:t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9. Documentação completa do incidente e relatório com plano de melhoria contínua.</w:t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6. Sugestão de teste do plano</w:t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Teste anual completo de DRP (Disaster Recovery Plan).</w:t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Simulação de falha total de datacenter com migração de carga em tempo real.</w:t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Testes trimestrais de restauração de backup.</w:t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Testes mensais de failover de rede e redundância de links.</w:t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Exercícios de resposta a incidentes de segurança.</w:t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Avaliação das equipes com treinamento e simulações práticas.</w:t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 Auditoria anual independente sobre segurança, continuidade e disponibilidade.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</w:rPr>
  </w:style>
  <w:style w:type="paragraph" w:styleId="8">
    <w:name w:val="heading 7"/>
    <w:basedOn w:val="1"/>
    <w:next w:val="1"/>
    <w:link w:val="55"/>
    <w:uiPriority w:val="9"/>
    <w:semiHidden w:val="1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uiPriority w:val="9"/>
    <w:semiHidden w:val="1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uiPriority w:val="9"/>
    <w:semiHidden w:val="1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1" w:default="1">
    <w:name w:val="Default Paragraph Font"/>
    <w:uiPriority w:val="1"/>
    <w:semiHidden w:val="1"/>
    <w:unhideWhenUsed w:val="1"/>
  </w:style>
  <w:style w:type="table" w:styleId="12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3">
    <w:name w:val="Strong"/>
    <w:basedOn w:val="11"/>
    <w:uiPriority w:val="22"/>
    <w:qFormat w:val="1"/>
    <w:rPr>
      <w:b w:val="1"/>
      <w:bCs w:val="1"/>
    </w:rPr>
  </w:style>
  <w:style w:type="character" w:styleId="14">
    <w:name w:val="Emphasis"/>
    <w:basedOn w:val="11"/>
    <w:uiPriority w:val="20"/>
    <w:qFormat w:val="1"/>
    <w:rPr>
      <w:i w:val="1"/>
      <w:iCs w:val="1"/>
    </w:rPr>
  </w:style>
  <w:style w:type="paragraph" w:styleId="15">
    <w:name w:val="List"/>
    <w:basedOn w:val="1"/>
    <w:uiPriority w:val="99"/>
    <w:unhideWhenUsed w:val="1"/>
    <w:pPr>
      <w:ind w:left="360" w:hanging="360"/>
      <w:contextualSpacing w:val="1"/>
    </w:pPr>
  </w:style>
  <w:style w:type="paragraph" w:styleId="16">
    <w:name w:val="Body Text"/>
    <w:basedOn w:val="1"/>
    <w:link w:val="46"/>
    <w:uiPriority w:val="99"/>
    <w:unhideWhenUsed w:val="1"/>
    <w:qFormat w:val="1"/>
    <w:pPr>
      <w:spacing w:after="120"/>
    </w:pPr>
  </w:style>
  <w:style w:type="paragraph" w:styleId="18">
    <w:name w:val="List Bullet 3"/>
    <w:basedOn w:val="1"/>
    <w:uiPriority w:val="99"/>
    <w:unhideWhenUsed w:val="1"/>
    <w:pPr>
      <w:numPr>
        <w:ilvl w:val="0"/>
        <w:numId w:val="1"/>
      </w:numPr>
      <w:contextualSpacing w:val="1"/>
    </w:pPr>
  </w:style>
  <w:style w:type="paragraph" w:styleId="19">
    <w:name w:val="List Bullet 2"/>
    <w:basedOn w:val="1"/>
    <w:uiPriority w:val="99"/>
    <w:unhideWhenUsed w:val="1"/>
    <w:pPr>
      <w:numPr>
        <w:ilvl w:val="0"/>
        <w:numId w:val="2"/>
      </w:numPr>
      <w:contextualSpacing w:val="1"/>
    </w:pPr>
  </w:style>
  <w:style w:type="paragraph" w:styleId="20">
    <w:name w:val="macro"/>
    <w:link w:val="49"/>
    <w:uiPriority w:val="99"/>
    <w:unhideWhenUsed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cstheme="minorBidi" w:eastAsiaTheme="minorEastAsia"/>
      <w:sz w:val="20"/>
      <w:szCs w:val="20"/>
      <w:lang w:bidi="ar-SA" w:eastAsia="en-US" w:val="en-US"/>
    </w:rPr>
  </w:style>
  <w:style w:type="paragraph" w:styleId="21">
    <w:name w:val="List Continue"/>
    <w:basedOn w:val="1"/>
    <w:uiPriority w:val="99"/>
    <w:unhideWhenUsed w:val="1"/>
    <w:pPr>
      <w:spacing w:after="120"/>
      <w:ind w:left="360"/>
      <w:contextualSpacing w:val="1"/>
    </w:pPr>
  </w:style>
  <w:style w:type="paragraph" w:styleId="22">
    <w:name w:val="Body Text 3"/>
    <w:basedOn w:val="1"/>
    <w:link w:val="48"/>
    <w:uiPriority w:val="99"/>
    <w:unhideWhenUsed w:val="1"/>
    <w:qFormat w:val="1"/>
    <w:pPr>
      <w:spacing w:after="120"/>
    </w:pPr>
    <w:rPr>
      <w:sz w:val="16"/>
      <w:szCs w:val="16"/>
    </w:rPr>
  </w:style>
  <w:style w:type="paragraph" w:styleId="23">
    <w:name w:val="List Number 2"/>
    <w:basedOn w:val="1"/>
    <w:uiPriority w:val="99"/>
    <w:unhideWhenUsed w:val="1"/>
    <w:pPr>
      <w:numPr>
        <w:ilvl w:val="0"/>
        <w:numId w:val="3"/>
      </w:numPr>
      <w:contextualSpacing w:val="1"/>
    </w:pPr>
  </w:style>
  <w:style w:type="paragraph" w:styleId="24">
    <w:name w:val="Body Text 2"/>
    <w:basedOn w:val="1"/>
    <w:link w:val="47"/>
    <w:uiPriority w:val="99"/>
    <w:unhideWhenUsed w:val="1"/>
    <w:qFormat w:val="1"/>
    <w:pPr>
      <w:spacing w:after="120" w:line="480" w:lineRule="auto"/>
    </w:pPr>
  </w:style>
  <w:style w:type="paragraph" w:styleId="25">
    <w:name w:val="header"/>
    <w:basedOn w:val="1"/>
    <w:link w:val="37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iPriority w:val="99"/>
    <w:unhideWhenUsed w:val="1"/>
    <w:pPr>
      <w:spacing w:after="120"/>
      <w:ind w:left="1080"/>
      <w:contextualSpacing w:val="1"/>
    </w:pPr>
  </w:style>
  <w:style w:type="paragraph" w:styleId="27">
    <w:name w:val="footer"/>
    <w:basedOn w:val="1"/>
    <w:link w:val="38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iPriority w:val="99"/>
    <w:unhideWhenUsed w:val="1"/>
    <w:pPr>
      <w:spacing w:after="120"/>
      <w:ind w:left="720"/>
      <w:contextualSpacing w:val="1"/>
    </w:pPr>
  </w:style>
  <w:style w:type="paragraph" w:styleId="30">
    <w:name w:val="List 3"/>
    <w:basedOn w:val="1"/>
    <w:uiPriority w:val="99"/>
    <w:unhideWhenUsed w:val="1"/>
    <w:pPr>
      <w:ind w:left="1080" w:hanging="360"/>
      <w:contextualSpacing w:val="1"/>
    </w:pPr>
  </w:style>
  <w:style w:type="paragraph" w:styleId="31">
    <w:name w:val="List Number 3"/>
    <w:basedOn w:val="1"/>
    <w:uiPriority w:val="99"/>
    <w:unhideWhenUsed w:val="1"/>
    <w:pPr>
      <w:numPr>
        <w:ilvl w:val="0"/>
        <w:numId w:val="4"/>
      </w:numPr>
      <w:contextualSpacing w:val="1"/>
    </w:pPr>
  </w:style>
  <w:style w:type="paragraph" w:styleId="33">
    <w:name w:val="List 2"/>
    <w:basedOn w:val="1"/>
    <w:uiPriority w:val="99"/>
    <w:unhideWhenUsed w:val="1"/>
    <w:pPr>
      <w:ind w:left="720" w:hanging="360"/>
      <w:contextualSpacing w:val="1"/>
    </w:pPr>
  </w:style>
  <w:style w:type="paragraph" w:styleId="34">
    <w:name w:val="List Bullet"/>
    <w:basedOn w:val="1"/>
    <w:uiPriority w:val="99"/>
    <w:unhideWhenUsed w:val="1"/>
    <w:pPr>
      <w:numPr>
        <w:ilvl w:val="0"/>
        <w:numId w:val="5"/>
      </w:numPr>
      <w:contextualSpacing w:val="1"/>
    </w:pPr>
  </w:style>
  <w:style w:type="paragraph" w:styleId="35">
    <w:name w:val="List Number"/>
    <w:basedOn w:val="1"/>
    <w:uiPriority w:val="99"/>
    <w:unhideWhenUsed w:val="1"/>
    <w:pPr>
      <w:numPr>
        <w:ilvl w:val="0"/>
        <w:numId w:val="6"/>
      </w:numPr>
      <w:contextualSpacing w:val="1"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37" w:customStyle="1">
    <w:name w:val="Header Char"/>
    <w:basedOn w:val="11"/>
    <w:link w:val="25"/>
    <w:uiPriority w:val="99"/>
  </w:style>
  <w:style w:type="character" w:styleId="38" w:customStyle="1">
    <w:name w:val="Footer Char"/>
    <w:basedOn w:val="11"/>
    <w:link w:val="27"/>
    <w:uiPriority w:val="99"/>
  </w:style>
  <w:style w:type="paragraph" w:styleId="39">
    <w:name w:val="No Spacing"/>
    <w:uiPriority w:val="1"/>
    <w:qFormat w:val="1"/>
    <w:pPr>
      <w:spacing w:after="0" w:line="240" w:lineRule="auto"/>
    </w:pPr>
    <w:rPr>
      <w:rFonts w:asciiTheme="minorHAnsi" w:cstheme="minorBidi" w:eastAsiaTheme="minorEastAsia" w:hAnsiTheme="minorHAnsi"/>
      <w:sz w:val="22"/>
      <w:szCs w:val="22"/>
      <w:lang w:bidi="ar-SA" w:eastAsia="en-US" w:val="en-US"/>
    </w:rPr>
  </w:style>
  <w:style w:type="character" w:styleId="40" w:customStyle="1">
    <w:name w:val="Heading 1 Char"/>
    <w:basedOn w:val="11"/>
    <w:link w:val="2"/>
    <w:uiPriority w:val="9"/>
    <w:rPr>
      <w:rFonts w:asciiTheme="majorHAnsi" w:cstheme="majorBidi" w:eastAsiaTheme="majorEastAsia" w:hAnsiTheme="majorHAnsi"/>
      <w:b w:val="1"/>
      <w:bCs w:val="1"/>
      <w:color w:val="376092" w:themeColor="accent1" w:themeShade="0000BF"/>
      <w:sz w:val="28"/>
      <w:szCs w:val="28"/>
    </w:rPr>
  </w:style>
  <w:style w:type="character" w:styleId="41" w:customStyle="1">
    <w:name w:val="Heading 2 Char"/>
    <w:basedOn w:val="11"/>
    <w:link w:val="3"/>
    <w:uiPriority w:val="9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42" w:customStyle="1">
    <w:name w:val="Heading 3 Char"/>
    <w:basedOn w:val="11"/>
    <w:link w:val="4"/>
    <w:uiPriority w:val="9"/>
    <w:rPr>
      <w:rFonts w:asciiTheme="majorHAnsi" w:cstheme="majorBidi" w:eastAsiaTheme="majorEastAsia" w:hAnsiTheme="majorHAns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character" w:styleId="43" w:customStyle="1">
    <w:name w:val="Title Char"/>
    <w:basedOn w:val="11"/>
    <w:link w:val="17"/>
    <w:uiPriority w:val="10"/>
    <w:rPr>
      <w:rFonts w:asciiTheme="majorHAnsi" w:cstheme="majorBidi" w:eastAsiaTheme="majorEastAsia" w:hAnsiTheme="majorHAnsi"/>
      <w:color w:val="17375e" w:themeColor="text2" w:themeShade="0000BF"/>
      <w:spacing w:val="5"/>
      <w:kern w:val="28"/>
      <w:sz w:val="52"/>
      <w:szCs w:val="52"/>
    </w:rPr>
  </w:style>
  <w:style w:type="character" w:styleId="44" w:customStyle="1">
    <w:name w:val="Subtitle Char"/>
    <w:basedOn w:val="11"/>
    <w:link w:val="32"/>
    <w:uiPriority w:val="11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uiPriority w:val="34"/>
    <w:qFormat w:val="1"/>
    <w:pPr>
      <w:ind w:left="720"/>
      <w:contextualSpacing w:val="1"/>
    </w:pPr>
  </w:style>
  <w:style w:type="character" w:styleId="46" w:customStyle="1">
    <w:name w:val="Body Text Char"/>
    <w:basedOn w:val="11"/>
    <w:link w:val="16"/>
    <w:uiPriority w:val="99"/>
    <w:qFormat w:val="1"/>
  </w:style>
  <w:style w:type="character" w:styleId="47" w:customStyle="1">
    <w:name w:val="Body Text 2 Char"/>
    <w:basedOn w:val="11"/>
    <w:link w:val="24"/>
    <w:uiPriority w:val="99"/>
  </w:style>
  <w:style w:type="character" w:styleId="48" w:customStyle="1">
    <w:name w:val="Body Text 3 Char"/>
    <w:basedOn w:val="11"/>
    <w:link w:val="22"/>
    <w:uiPriority w:val="99"/>
    <w:rPr>
      <w:sz w:val="16"/>
      <w:szCs w:val="16"/>
    </w:rPr>
  </w:style>
  <w:style w:type="character" w:styleId="49" w:customStyle="1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51" w:customStyle="1">
    <w:name w:val="Quote Char"/>
    <w:basedOn w:val="11"/>
    <w:link w:val="50"/>
    <w:uiPriority w:val="29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52" w:customStyle="1">
    <w:name w:val="Heading 4 Char"/>
    <w:basedOn w:val="11"/>
    <w:link w:val="5"/>
    <w:uiPriority w:val="9"/>
    <w:semiHidden w:val="1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53" w:customStyle="1">
    <w:name w:val="Heading 5 Char"/>
    <w:basedOn w:val="11"/>
    <w:link w:val="6"/>
    <w:uiPriority w:val="9"/>
    <w:semiHidden w:val="1"/>
    <w:rPr>
      <w:rFonts w:asciiTheme="majorHAnsi" w:cstheme="majorBidi" w:eastAsiaTheme="majorEastAsia" w:hAnsiTheme="majorHAnsi"/>
      <w:color w:val="254061" w:themeColor="accent1" w:themeShade="000080"/>
    </w:rPr>
  </w:style>
  <w:style w:type="character" w:styleId="54" w:customStyle="1">
    <w:name w:val="Heading 6 Char"/>
    <w:basedOn w:val="11"/>
    <w:link w:val="7"/>
    <w:uiPriority w:val="9"/>
    <w:semiHidden w:val="1"/>
    <w:rPr>
      <w:rFonts w:asciiTheme="majorHAnsi" w:cstheme="majorBidi" w:eastAsiaTheme="majorEastAsia" w:hAnsiTheme="majorHAnsi"/>
      <w:i w:val="1"/>
      <w:iCs w:val="1"/>
      <w:color w:val="254061" w:themeColor="accent1" w:themeShade="000080"/>
    </w:rPr>
  </w:style>
  <w:style w:type="character" w:styleId="55" w:customStyle="1">
    <w:name w:val="Heading 7 Char"/>
    <w:basedOn w:val="11"/>
    <w:link w:val="8"/>
    <w:uiPriority w:val="9"/>
    <w:semiHidden w:val="1"/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56" w:customStyle="1">
    <w:name w:val="Heading 8 Char"/>
    <w:basedOn w:val="11"/>
    <w:link w:val="9"/>
    <w:uiPriority w:val="9"/>
    <w:semiHidden w:val="1"/>
    <w:rPr>
      <w:rFonts w:asciiTheme="majorHAnsi" w:cstheme="majorBidi" w:eastAsiaTheme="majorEastAsia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57" w:customStyle="1">
    <w:name w:val="Heading 9 Char"/>
    <w:basedOn w:val="11"/>
    <w:link w:val="10"/>
    <w:uiPriority w:val="9"/>
    <w:semiHidden w:val="1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uiPriority w:val="30"/>
    <w:qFormat w:val="1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59" w:customStyle="1">
    <w:name w:val="Intense Quote Char"/>
    <w:basedOn w:val="11"/>
    <w:link w:val="58"/>
    <w:uiPriority w:val="30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60" w:customStyle="1">
    <w:name w:val="Subtle Emphasis"/>
    <w:basedOn w:val="11"/>
    <w:uiPriority w:val="19"/>
    <w:qFormat w:val="1"/>
    <w:rPr>
      <w:i w:val="1"/>
      <w:iCs w:val="1"/>
      <w:color w:val="808080" w:themeColor="text1" w:themeTint="0000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61" w:customStyle="1">
    <w:name w:val="Intense Emphasis"/>
    <w:basedOn w:val="11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62" w:customStyle="1">
    <w:name w:val="Subtle Reference"/>
    <w:basedOn w:val="11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63" w:customStyle="1">
    <w:name w:val="Intense Reference"/>
    <w:basedOn w:val="11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64" w:customStyle="1">
    <w:name w:val="Book Title"/>
    <w:basedOn w:val="11"/>
    <w:uiPriority w:val="33"/>
    <w:qFormat w:val="1"/>
    <w:rPr>
      <w:b w:val="1"/>
      <w:bCs w:val="1"/>
      <w:smallCaps w:val="1"/>
      <w:spacing w:val="5"/>
    </w:rPr>
  </w:style>
  <w:style w:type="paragraph" w:styleId="65" w:customStyle="1">
    <w:name w:val="TOC Heading"/>
    <w:basedOn w:val="2"/>
    <w:next w:val="1"/>
    <w:uiPriority w:val="39"/>
    <w:semiHidden w:val="1"/>
    <w:unhideWhenUsed w:val="1"/>
    <w:qFormat w:val="1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0000BF"/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0000BF"/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0000BF"/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0000BF"/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0000BF"/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0000BF"/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0000BF"/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bfbfbf" w:themeFill="text1" w:themeFillTint="00003F" w:val="clear"/>
      </w:tcPr>
    </w:tblStylePr>
    <w:tblStylePr w:type="band1Horz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  <w:shd w:color="auto" w:fill="bfbfbf" w:themeFill="text1" w:themeFillTint="00003F" w:val="clear"/>
      </w:tcPr>
    </w:tblStylePr>
    <w:tblStylePr w:type="band2Horz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  <w:shd w:color="auto" w:fill="d3dfee" w:themeFill="accent1" w:themeFillTint="00003F" w:val="clear"/>
      </w:tcPr>
    </w:tblStylePr>
    <w:tblStylePr w:type="band2Horz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3" w:themeFill="accent2" w:themeFillTint="00003F" w:val="clear"/>
      </w:tcPr>
    </w:tblStylePr>
    <w:tblStylePr w:type="band1Horz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  <w:shd w:color="auto" w:fill="efd3d3" w:themeFill="accent2" w:themeFillTint="00003F" w:val="clear"/>
      </w:tcPr>
    </w:tblStylePr>
    <w:tblStylePr w:type="band2Horz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  <w:shd w:color="auto" w:fill="e6eed5" w:themeFill="accent3" w:themeFillTint="00003F" w:val="clear"/>
      </w:tcPr>
    </w:tblStylePr>
    <w:tblStylePr w:type="band2Horz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  <w:shd w:color="auto" w:fill="dfd8e8" w:themeFill="accent4" w:themeFillTint="00003F" w:val="clear"/>
      </w:tcPr>
    </w:tblStylePr>
    <w:tblStylePr w:type="band2Horz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0" w:themeFill="accent5" w:themeFillTint="00003F" w:val="clear"/>
      </w:tcPr>
    </w:tblStylePr>
    <w:tblStylePr w:type="band1Horz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  <w:shd w:color="auto" w:fill="d2eaf0" w:themeFill="accent5" w:themeFillTint="00003F" w:val="clear"/>
      </w:tcPr>
    </w:tblStylePr>
    <w:tblStylePr w:type="band2Horz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5d1" w:themeFill="accent6" w:themeFillTint="00003F" w:val="clear"/>
      </w:tcPr>
    </w:tblStylePr>
    <w:tblStylePr w:type="band1Horz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  <w:shd w:color="auto" w:fill="fde5d1" w:themeFill="accent6" w:themeFillTint="00003F" w:val="clear"/>
      </w:tcPr>
    </w:tblStylePr>
    <w:tblStylePr w:type="band2Horz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3f3f3f" w:space="0" w:sz="8" w:themeColor="text1" w:themeTint="0000BF" w:val="sing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3f3f3f" w:space="0" w:sz="6" w:themeColor="text1" w:themeTint="0000BF" w:val="doub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bfbfbf" w:themeFill="text1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3dfee" w:themeFill="accent1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efd3d3" w:themeFill="accent2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b4cc82" w:space="0" w:sz="8" w:themeColor="accent3" w:themeTint="0000BF" w:val="sing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b4cc82" w:space="0" w:sz="6" w:themeColor="accent3" w:themeTint="0000BF" w:val="doub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e6eed5" w:themeFill="accent3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fd8e8" w:themeFill="accent4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2eaf0" w:themeFill="accent5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fde5d1" w:themeFill="accent6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cPr>
        <w:shd w:color="auto" w:fill="bfbfbf" w:themeFill="text1" w:themeFillTint="00003F" w:val="clear"/>
      </w:tcPr>
    </w:tblStylePr>
    <w:tblStylePr w:type="band1Horz">
      <w:tcPr>
        <w:shd w:color="auto" w:fill="bfbfbf" w:themeFill="text1" w:themeFillTint="00003F" w:val="clear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cPr>
        <w:shd w:color="auto" w:fill="d3dfee" w:themeFill="accent1" w:themeFillTint="00003F" w:val="clear"/>
      </w:tcPr>
    </w:tblStylePr>
    <w:tblStylePr w:type="band1Horz">
      <w:tcPr>
        <w:shd w:color="auto" w:fill="d3dfee" w:themeFill="accent1" w:themeFillTint="00003F" w:val="clear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cPr>
        <w:shd w:color="auto" w:fill="efd3d3" w:themeFill="accent2" w:themeFillTint="00003F" w:val="clear"/>
      </w:tcPr>
    </w:tblStylePr>
    <w:tblStylePr w:type="band1Horz">
      <w:tcPr>
        <w:shd w:color="auto" w:fill="efd3d3" w:themeFill="accent2" w:themeFillTint="00003F" w:val="clear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cPr>
        <w:shd w:color="auto" w:fill="e6eed5" w:themeFill="accent3" w:themeFillTint="00003F" w:val="clear"/>
      </w:tcPr>
    </w:tblStylePr>
    <w:tblStylePr w:type="band1Horz">
      <w:tcPr>
        <w:shd w:color="auto" w:fill="e6eed5" w:themeFill="accent3" w:themeFillTint="00003F" w:val="clear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cPr>
        <w:shd w:color="auto" w:fill="dfd8e8" w:themeFill="accent4" w:themeFillTint="00003F" w:val="clear"/>
      </w:tcPr>
    </w:tblStylePr>
    <w:tblStylePr w:type="band1Horz">
      <w:tcPr>
        <w:shd w:color="auto" w:fill="dfd8e8" w:themeFill="accent4" w:themeFillTint="00003F" w:val="clear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cPr>
        <w:shd w:color="auto" w:fill="d2eaf0" w:themeFill="accent5" w:themeFillTint="00003F" w:val="clear"/>
      </w:tcPr>
    </w:tblStylePr>
    <w:tblStylePr w:type="band1Horz">
      <w:tcPr>
        <w:shd w:color="auto" w:fill="d2eaf0" w:themeFill="accent5" w:themeFillTint="00003F" w:val="clear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cPr>
        <w:shd w:color="auto" w:fill="fde5d1" w:themeFill="accent6" w:themeFillTint="00003F" w:val="clear"/>
      </w:tcPr>
    </w:tblStylePr>
    <w:tblStylePr w:type="band1Horz">
      <w:tcPr>
        <w:shd w:color="auto" w:fill="fde5d1" w:themeFill="accent6" w:themeFillTint="00003F" w:val="clear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  <w:insideV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3f3f3f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7f7f7f" w:themeFill="text1" w:themeFillTint="00007F" w:val="clear"/>
      </w:tcPr>
    </w:tblStylePr>
    <w:tblStylePr w:type="band1Horz">
      <w:tcPr>
        <w:shd w:color="auto" w:fill="7f7f7f" w:themeFill="text1" w:themeFillTint="00007F" w:val="clear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a7c0de" w:themeFill="accent1" w:themeFillTint="00007F" w:val="clear"/>
      </w:tcPr>
    </w:tblStylePr>
    <w:tblStylePr w:type="band1Horz">
      <w:tcPr>
        <w:shd w:color="auto" w:fill="a7c0de" w:themeFill="accent1" w:themeFillTint="00007F" w:val="clear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fa7a6" w:themeFill="accent2" w:themeFillTint="00007F" w:val="clear"/>
      </w:tcPr>
    </w:tblStylePr>
    <w:tblStylePr w:type="band1Horz">
      <w:tcPr>
        <w:shd w:color="auto" w:fill="dfa7a6" w:themeFill="accent2" w:themeFillTint="00007F" w:val="clear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  <w:insideV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4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cdddac" w:themeFill="accent3" w:themeFillTint="00007F" w:val="clear"/>
      </w:tcPr>
    </w:tblStylePr>
    <w:tblStylePr w:type="band1Horz">
      <w:tcPr>
        <w:shd w:color="auto" w:fill="cdddac" w:themeFill="accent3" w:themeFillTint="00007F" w:val="clear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bfb1d0" w:themeFill="accent4" w:themeFillTint="00007F" w:val="clear"/>
      </w:tcPr>
    </w:tblStylePr>
    <w:tblStylePr w:type="band1Horz">
      <w:tcPr>
        <w:shd w:color="auto" w:fill="bfb1d0" w:themeFill="accent4" w:themeFillTint="00007F" w:val="clear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a5d5e2" w:themeFill="accent5" w:themeFillTint="00007F" w:val="clear"/>
      </w:tcPr>
    </w:tblStylePr>
    <w:tblStylePr w:type="band1Horz">
      <w:tcPr>
        <w:shd w:color="auto" w:fill="a5d5e2" w:themeFill="accent5" w:themeFillTint="00007F" w:val="clear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fbcaa2" w:themeFill="accent6" w:themeFillTint="00007F" w:val="clear"/>
      </w:tcPr>
    </w:tblStylePr>
    <w:tblStylePr w:type="band1Horz">
      <w:tcPr>
        <w:shd w:color="auto" w:fill="fbcaa2" w:themeFill="accent6" w:themeFillTint="00007F" w:val="clear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5e5e5" w:themeFill="tex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cPr>
        <w:shd w:color="auto" w:fill="7f7f7f" w:themeFill="text1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7f7f7f" w:themeFill="text1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cPr>
        <w:shd w:color="auto" w:fill="a7c0de" w:themeFill="accent1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a7c0de" w:themeFill="accent1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cPr>
        <w:shd w:color="auto" w:fill="dfa7a6" w:themeFill="accent2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dfa7a6" w:themeFill="accent2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cPr>
        <w:shd w:color="auto" w:fill="cdddac" w:themeFill="accent3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cdddac" w:themeFill="accent3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2eff5" w:themeFill="accent4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cPr>
        <w:shd w:color="auto" w:fill="bfb1d0" w:themeFill="accent4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bfb1d0" w:themeFill="accent4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cPr>
        <w:shd w:color="auto" w:fill="a5d5e2" w:themeFill="accent5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a5d5e2" w:themeFill="accent5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cPr>
        <w:shd w:color="auto" w:fill="fbcaa2" w:themeFill="accent6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fbcaa2" w:themeFill="accent6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7f7f7f" w:themeFill="text1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7f7f7f" w:themeFill="text1" w:themeFillTint="00007F" w:val="clear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c0de" w:themeFill="accent1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7c0de" w:themeFill="accent1" w:themeFillTint="00007F" w:val="clear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dfa7a6" w:themeFill="accent2" w:themeFillTint="00007F" w:val="clear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cdddac" w:themeFill="accent3" w:themeFillTint="00007F" w:val="clear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bfb1d0" w:themeFill="accent4" w:themeFillTint="00007F" w:val="clear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5d5e2" w:themeFill="accent5" w:themeFillTint="00007F" w:val="clear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fbcaa2" w:themeFill="accent6" w:themeFillTint="00007F" w:val="clear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1" w:themeFill="accent1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7" w:themeFill="accent3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051" w:themeFill="accent4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cPr>
        <w:shd w:color="auto" w:fill="999999" w:themeFill="text1" w:themeFillTint="000066" w:val="clear"/>
      </w:tcPr>
    </w:tblStylePr>
    <w:tblStylePr w:type="band1Horz">
      <w:tcPr>
        <w:shd w:color="auto" w:fill="7f7f7f" w:themeFill="tex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2b4d74" w:themeFill="accen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b4d74" w:themeFill="accen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b4d74" w:themeFill="accent1" w:themeFillShade="000099" w:val="clear"/>
      </w:tcPr>
    </w:tblStylePr>
    <w:tblStylePr w:type="band1Vert">
      <w:tcPr>
        <w:shd w:color="auto" w:fill="b8cce4" w:themeFill="accent1" w:themeFillTint="000066" w:val="clear"/>
      </w:tcPr>
    </w:tblStylePr>
    <w:tblStylePr w:type="band1Horz">
      <w:tcPr>
        <w:shd w:color="auto" w:fill="a7c0de" w:themeFill="accen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cPr>
        <w:shd w:color="auto" w:fill="e5b8b7" w:themeFill="accent2" w:themeFillTint="000066" w:val="clear"/>
      </w:tcPr>
    </w:tblStylePr>
    <w:tblStylePr w:type="band1Horz">
      <w:tcPr>
        <w:shd w:color="auto" w:fill="dfa7a6" w:themeFill="accent2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cPr>
        <w:shd w:color="auto" w:fill="d6e3bc" w:themeFill="accent3" w:themeFillTint="000066" w:val="clear"/>
      </w:tcPr>
    </w:tblStylePr>
    <w:tblStylePr w:type="band1Horz">
      <w:tcPr>
        <w:shd w:color="auto" w:fill="cdddac" w:themeFill="accent3" w:themeFillTint="00007F" w:val="clear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4c3a62" w:themeFill="accent4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4c3a62" w:themeFill="accent4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a62" w:themeFill="accent4" w:themeFillShade="000099" w:val="clear"/>
      </w:tcPr>
    </w:tblStylePr>
    <w:tblStylePr w:type="band1Vert">
      <w:tcPr>
        <w:shd w:color="auto" w:fill="ccc0d9" w:themeFill="accent4" w:themeFillTint="000066" w:val="clear"/>
      </w:tcPr>
    </w:tblStylePr>
    <w:tblStylePr w:type="band1Horz">
      <w:tcPr>
        <w:shd w:color="auto" w:fill="bfb1d0" w:themeFill="accent4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cPr>
        <w:shd w:color="auto" w:fill="b6dde8" w:themeFill="accent5" w:themeFillTint="000066" w:val="clear"/>
      </w:tcPr>
    </w:tblStylePr>
    <w:tblStylePr w:type="band1Horz">
      <w:tcPr>
        <w:shd w:color="auto" w:fill="a5d5e2" w:themeFill="accent5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b65607" w:themeFill="accent6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b65607" w:themeFill="accent6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7" w:themeFill="accent6" w:themeFillShade="000099" w:val="clear"/>
      </w:tcPr>
    </w:tblStylePr>
    <w:tblStylePr w:type="band1Vert">
      <w:tcPr>
        <w:shd w:color="auto" w:fill="fbd4b4" w:themeFill="accent6" w:themeFillTint="000066" w:val="clear"/>
      </w:tcPr>
    </w:tblStylePr>
    <w:tblStylePr w:type="band1Horz">
      <w:tcPr>
        <w:shd w:color="auto" w:fill="fbcaa2" w:themeFill="accent6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cPr>
        <w:shd w:color="auto" w:fill="cccccc" w:themeFill="text1" w:themeFillTint="000033" w:val="clear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cPr>
        <w:shd w:color="auto" w:fill="dbe5f1" w:themeFill="accent1" w:themeFillTint="000033" w:val="clear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cPr>
        <w:shd w:color="auto" w:fill="f2dbdb" w:themeFill="accent2" w:themeFillTint="000033" w:val="clear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f83" w:themeColor="accent4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cPr>
        <w:shd w:color="auto" w:fill="eaf1dd" w:themeFill="accent3" w:themeFillTint="000033" w:val="clear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d40" w:themeColor="accent3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cPr>
        <w:shd w:color="auto" w:fill="e5dfec" w:themeFill="accent4" w:themeFillTint="000033" w:val="clear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f3730a" w:themeFill="accent6" w:themeFillShade="0000CC" w:val="clear"/>
      </w:tcPr>
    </w:tblStylePr>
    <w:tblStylePr w:type="lastRow">
      <w:rPr>
        <w:b w:val="1"/>
        <w:bCs w:val="1"/>
        <w:color w:val="f3740b" w:themeColor="accent6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cPr>
        <w:shd w:color="auto" w:fill="daeef3" w:themeFill="accent5" w:themeFillTint="000033" w:val="clear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58ea6" w:themeColor="accent5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cPr>
        <w:shd w:color="auto" w:fill="fde9d9" w:themeFill="accent6" w:themeFillTint="000033" w:val="clear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999999" w:themeFill="tex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000000" w:themeFill="tex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000000" w:themeFill="text1" w:themeFillShade="0000BF" w:val="clear"/>
      </w:tcPr>
    </w:tblStylePr>
    <w:tblStylePr w:type="band1Vert">
      <w:tcPr>
        <w:shd w:color="auto" w:fill="7f7f7f" w:themeFill="text1" w:themeFillTint="00007F" w:val="clear"/>
      </w:tcPr>
    </w:tblStylePr>
    <w:tblStylePr w:type="band1Horz">
      <w:tcPr>
        <w:shd w:color="auto" w:fill="7f7f7f" w:themeFill="text1" w:themeFillTint="00007F" w:val="clear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66091" w:themeFill="accen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66091" w:themeFill="accent1" w:themeFillShade="0000BF" w:val="clear"/>
      </w:tcPr>
    </w:tblStylePr>
    <w:tblStylePr w:type="band1Vert">
      <w:tcPr>
        <w:shd w:color="auto" w:fill="a7c0de" w:themeFill="accent1" w:themeFillTint="00007F" w:val="clear"/>
      </w:tcPr>
    </w:tblStylePr>
    <w:tblStylePr w:type="band1Horz">
      <w:tcPr>
        <w:shd w:color="auto" w:fill="a7c0de" w:themeFill="accent1" w:themeFillTint="00007F" w:val="clear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943734" w:themeFill="accent2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943734" w:themeFill="accent2" w:themeFillShade="0000BF" w:val="clear"/>
      </w:tcPr>
    </w:tblStylePr>
    <w:tblStylePr w:type="band1Vert">
      <w:tcPr>
        <w:shd w:color="auto" w:fill="dfa7a6" w:themeFill="accent2" w:themeFillTint="00007F" w:val="clear"/>
      </w:tcPr>
    </w:tblStylePr>
    <w:tblStylePr w:type="band1Horz">
      <w:tcPr>
        <w:shd w:color="auto" w:fill="dfa7a6" w:themeFill="accent2" w:themeFillTint="00007F" w:val="clear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76923c" w:themeFill="accent3" w:themeFillShade="0000BF" w:val="clear"/>
      </w:tcPr>
    </w:tblStylePr>
    <w:tblStylePr w:type="band1Vert">
      <w:tcPr>
        <w:shd w:color="auto" w:fill="cdddac" w:themeFill="accent3" w:themeFillTint="00007F" w:val="clear"/>
      </w:tcPr>
    </w:tblStylePr>
    <w:tblStylePr w:type="band1Horz">
      <w:tcPr>
        <w:shd w:color="auto" w:fill="cdddac" w:themeFill="accent3" w:themeFillTint="00007F" w:val="clear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5f497a" w:themeFill="accent4" w:themeFillShade="0000BF" w:val="clear"/>
      </w:tcPr>
    </w:tblStylePr>
    <w:tblStylePr w:type="band1Vert">
      <w:tcPr>
        <w:shd w:color="auto" w:fill="bfb1d0" w:themeFill="accent4" w:themeFillTint="00007F" w:val="clear"/>
      </w:tcPr>
    </w:tblStylePr>
    <w:tblStylePr w:type="band1Horz">
      <w:tcPr>
        <w:shd w:color="auto" w:fill="bfb1d0" w:themeFill="accent4" w:themeFillTint="00007F" w:val="clear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1849b" w:themeFill="accent5" w:themeFillShade="0000BF" w:val="clear"/>
      </w:tcPr>
    </w:tblStylePr>
    <w:tblStylePr w:type="band1Vert">
      <w:tcPr>
        <w:shd w:color="auto" w:fill="a5d5e2" w:themeFill="accent5" w:themeFillTint="00007F" w:val="clear"/>
      </w:tcPr>
    </w:tblStylePr>
    <w:tblStylePr w:type="band1Horz">
      <w:tcPr>
        <w:shd w:color="auto" w:fill="a5d5e2" w:themeFill="accent5" w:themeFillTint="00007F" w:val="clear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e36c09" w:themeFill="accent6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e36c09" w:themeFill="accent6" w:themeFillShade="0000BF" w:val="clear"/>
      </w:tcPr>
    </w:tblStylePr>
    <w:tblStylePr w:type="band1Vert">
      <w:tcPr>
        <w:shd w:color="auto" w:fill="fbcaa2" w:themeFill="accent6" w:themeFillTint="00007F" w:val="clear"/>
      </w:tcPr>
    </w:tblStylePr>
    <w:tblStylePr w:type="band1Horz"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HmM6xTMBO3hLfyjEgTyyrXeqvA==">CgMxLjAyDmgubG5oZDBycmhyNHcyOAByITEyRlN1RWlfV3BUd3dndFo4dzZzMk9ORWlRbWZnTldJQw==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564C4C07B58A460C86FCCAF41805FEBC_12</vt:lpwstr>
  </property>
</Properties>
</file>