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Тарифы</w:t>
      </w:r>
    </w:p>
    <w:p>
      <w:pPr>
        <w:spacing w:after="240" w:before="0"/>
      </w:pPr>
      <w:r>
        <w:rPr>
          <w:b w:val="0"/>
          <w:i/>
          <w:color w:val="606060"/>
          <w:sz w:val="30"/>
        </w:rPr>
        <w:t>План развития и анализ конкурентов</w:t>
      </w:r>
    </w:p>
    <w:p>
      <w:pPr>
        <w:spacing w:after="120" w:before="0"/>
      </w:pPr>
      <w:r>
        <w:rPr>
          <w:b/>
          <w:i w:val="0"/>
          <w:color w:val="606060"/>
          <w:sz w:val="20"/>
        </w:rPr>
        <w:t xml:space="preserve">Дата: </w:t>
      </w:r>
      <w:r>
        <w:rPr>
          <w:b w:val="0"/>
          <w:i w:val="0"/>
          <w:color w:val="606060"/>
          <w:sz w:val="20"/>
        </w:rPr>
        <w:t>6 июля 2026 г.</w:t>
      </w:r>
      <w:r>
        <w:rPr>
          <w:b/>
          <w:i w:val="0"/>
          <w:color w:val="606060"/>
          <w:sz w:val="20"/>
        </w:rPr>
        <w:t xml:space="preserve">    •    Продукт: </w:t>
      </w:r>
      <w:r>
        <w:rPr>
          <w:b w:val="0"/>
          <w:i w:val="0"/>
          <w:color w:val="606060"/>
          <w:sz w:val="20"/>
        </w:rPr>
        <w:t>tarify.rumedia-cdn.com (в проде)</w:t>
      </w:r>
    </w:p>
    <w:p>
      <w:pPr>
        <w:spacing w:after="240" w:before="0"/>
      </w:pPr>
      <w:r>
        <w:rPr>
          <w:b/>
          <w:i w:val="0"/>
          <w:color w:val="606060"/>
          <w:sz w:val="20"/>
        </w:rPr>
        <w:t xml:space="preserve">Модель: </w:t>
      </w:r>
      <w:r>
        <w:rPr>
          <w:b w:val="0"/>
          <w:i w:val="0"/>
          <w:color w:val="606060"/>
          <w:sz w:val="20"/>
        </w:rPr>
        <w:t>агрегатор сравнения интернет-провайдеров по адресу; доход — CPA-комиссия провайдеров за подключённого абонента. Цифры конкурентов и ставок — из проведённого исследования (проверенные источники: Similarweb, rusprofile, карточки CPA-офферов, годовая отчётность). Часть показателей — оценка, помечена явно.</w:t>
      </w:r>
    </w:p>
    <w:p>
      <w:pPr>
        <w:pStyle w:val="Heading1"/>
      </w:pPr>
      <w:r>
        <w:rPr>
          <w:color w:val="1F4E79"/>
        </w:rPr>
        <w:t>1. Резюме</w:t>
      </w:r>
    </w:p>
    <w:p>
      <w:pPr>
        <w:spacing w:after="120" w:before="0"/>
      </w:pPr>
      <w:r>
        <w:rPr>
          <w:b w:val="0"/>
          <w:i w:val="0"/>
          <w:sz w:val="22"/>
        </w:rPr>
        <w:t>Проект — работающий агрегатор: пользователь вводит адрес → видит доступных провайдеров → оставляет заявку. Сайт бесплатен для пользователя; платит провайдер за подключённого клиента (~1300–2750 ₽ за домашний интернет). Прибыль делается на дешёвом SEO-трафике и качественном обзвоне заявок.</w:t>
      </w:r>
    </w:p>
    <w:p>
      <w:pPr>
        <w:spacing w:after="120" w:before="0"/>
      </w:pPr>
      <w:r>
        <w:rPr>
          <w:b/>
          <w:i w:val="0"/>
          <w:sz w:val="22"/>
        </w:rPr>
        <w:t xml:space="preserve">Главный вывод: </w:t>
      </w:r>
      <w:r>
        <w:rPr>
          <w:b w:val="0"/>
          <w:i w:val="0"/>
          <w:sz w:val="22"/>
        </w:rPr>
        <w:t xml:space="preserve">модель доказана — российский конкурент (экосистема 101internet/moskvaonline) делает </w:t>
      </w:r>
      <w:r>
        <w:rPr>
          <w:b/>
          <w:i w:val="0"/>
          <w:sz w:val="22"/>
        </w:rPr>
        <w:t>129 млн ₽ выручки и ~23 млн ₽ прибыли в год</w:t>
      </w:r>
      <w:r>
        <w:rPr>
          <w:b w:val="0"/>
          <w:i w:val="0"/>
          <w:sz w:val="22"/>
        </w:rPr>
        <w:t xml:space="preserve"> при ~750 тыс. визитов/мес. Ниша активна, но не насыщена. Технически платформа готова; дальше — реальные данные покрытия, CPA-аккаунт и обзвон.</w:t>
      </w:r>
    </w:p>
    <w:p>
      <w:pPr>
        <w:pStyle w:val="Heading1"/>
      </w:pPr>
      <w:r>
        <w:rPr>
          <w:color w:val="1F4E79"/>
        </w:rPr>
        <w:t>2. Монетизация и юнит-экономика</w:t>
      </w:r>
    </w:p>
    <w:p>
      <w:pPr>
        <w:spacing w:after="40" w:before="0"/>
      </w:pPr>
      <w:r>
        <w:rPr>
          <w:b/>
          <w:i w:val="0"/>
          <w:sz w:val="22"/>
        </w:rPr>
        <w:t>Как зарабатываем</w:t>
      </w:r>
    </w:p>
    <w:p>
      <w:pPr>
        <w:pStyle w:val="ListNumber"/>
        <w:spacing w:after="60"/>
      </w:pPr>
      <w:r>
        <w:rPr>
          <w:sz w:val="22"/>
        </w:rPr>
        <w:t>Регистрируешься в CPA-сети (Admitad / Pampadu) — посредник между тобой и провайдерами.</w:t>
      </w:r>
    </w:p>
    <w:p>
      <w:pPr>
        <w:pStyle w:val="ListNumber"/>
        <w:spacing w:after="60"/>
      </w:pPr>
      <w:r>
        <w:rPr>
          <w:sz w:val="22"/>
        </w:rPr>
        <w:t>Пользователь оставляет заявку на подключение на твоём сайте.</w:t>
      </w:r>
    </w:p>
    <w:p>
      <w:pPr>
        <w:pStyle w:val="ListNumber"/>
        <w:spacing w:after="60"/>
      </w:pPr>
      <w:r>
        <w:rPr>
          <w:sz w:val="22"/>
        </w:rPr>
        <w:t>Заявка подтверждается звонком и передаётся провайдеру по твоей партнёрской ссылке/ID.</w:t>
      </w:r>
    </w:p>
    <w:p>
      <w:pPr>
        <w:pStyle w:val="ListNumber"/>
        <w:spacing w:after="60"/>
      </w:pPr>
      <w:r>
        <w:rPr>
          <w:sz w:val="22"/>
        </w:rPr>
        <w:t>Провайдер подключает клиента → платит тебе фикс (CPA) за подтверждённое подключение.</w:t>
      </w:r>
    </w:p>
    <w:p>
      <w:pPr>
        <w:spacing w:after="40" w:before="120"/>
      </w:pPr>
      <w:r>
        <w:rPr>
          <w:b/>
          <w:i w:val="0"/>
          <w:sz w:val="22"/>
        </w:rPr>
        <w:t>Ставки CPA (проверено — карточки офферов Pampadu, категория 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Выплата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Домашний интернет — Ростелеком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 2 752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холд 31 день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Домашний интернет (диапазон рынка)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~1 300–2 750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 подтверждённое подключение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Прямой B2C Ростелеком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 / 1500 / 2000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 1 / 2 / 3 услуги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 — Т-Мобайл (по этапам)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553 + 510 + 1238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аппрув 71,7%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SIM (диапазон)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~280–550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 первичное действие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B2B revenue-share (МТС/МегаФон)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7–20% от счёта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12–24 мес. или бессрочно</w:t>
            </w:r>
          </w:p>
        </w:tc>
      </w:tr>
    </w:tbl>
    <w:p>
      <w:pPr>
        <w:spacing w:after="40" w:before="120"/>
      </w:pPr>
      <w:r>
        <w:rPr>
          <w:b/>
          <w:i w:val="0"/>
          <w:sz w:val="22"/>
        </w:rPr>
        <w:t>Воронка (оценка по бенчмаркам смежных ниш)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Конверсия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На 1000 визитов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Визит → заявка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~4% (2–6%)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 заявок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Заявка → подключение (аппрув)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~30% (25–40%)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 подключений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Доход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~24 000 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EPC (доход с визита)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~10–50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центр ~24 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EPL (доход с заявки)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~600 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против стоимости заявки ~300–400 ₽</w:t>
            </w:r>
          </w:p>
        </w:tc>
      </w:tr>
    </w:tbl>
    <w:p>
      <w:pPr>
        <w:spacing w:after="120" w:before="0"/>
      </w:pPr>
      <w:r>
        <w:rPr>
          <w:b/>
          <w:i w:val="0"/>
          <w:sz w:val="22"/>
        </w:rPr>
        <w:t xml:space="preserve">Ключ: </w:t>
      </w:r>
      <w:r>
        <w:rPr>
          <w:b w:val="0"/>
          <w:i w:val="0"/>
          <w:sz w:val="22"/>
        </w:rPr>
        <w:t>платный трафик еле окупается → бизнес держится на бесплатном SEO. Заработок = число подтверждённых подключений × ставка CPA (это и показывает админка по полю payoutRub).</w:t>
      </w:r>
    </w:p>
    <w:p>
      <w:pPr>
        <w:pStyle w:val="Heading1"/>
      </w:pPr>
      <w:r>
        <w:rPr>
          <w:color w:val="1F4E79"/>
        </w:rPr>
        <w:t>3. Анализ конкурентов (детально, с цифрами)</w:t>
      </w:r>
    </w:p>
    <w:p>
      <w:pPr>
        <w:spacing w:after="80" w:before="0"/>
      </w:pPr>
      <w:r>
        <w:rPr>
          <w:b/>
          <w:i w:val="0"/>
          <w:sz w:val="22"/>
        </w:rPr>
        <w:t>Российский рынок агрегаторов «интернет по адресу»</w:t>
      </w:r>
    </w:p>
    <w:p>
      <w:pPr>
        <w:spacing w:after="40" w:before="160"/>
      </w:pPr>
      <w:r>
        <w:rPr>
          <w:b/>
          <w:i w:val="0"/>
          <w:color w:val="1F4E79"/>
          <w:sz w:val="22"/>
        </w:rPr>
        <w:t xml:space="preserve">▸ </w:t>
      </w:r>
      <w:r>
        <w:rPr>
          <w:b/>
          <w:i w:val="0"/>
          <w:sz w:val="24"/>
        </w:rPr>
        <w:t>101internet.ru + moskvaonline.ru — эталон</w:t>
      </w:r>
    </w:p>
    <w:p>
      <w:pPr>
        <w:spacing w:after="60" w:before="0"/>
      </w:pPr>
      <w:r>
        <w:rPr>
          <w:b w:val="0"/>
          <w:i/>
          <w:color w:val="606060"/>
          <w:sz w:val="18"/>
        </w:rPr>
        <w:t>ООО «Интернет Промоушен» (Рязань, ИНН 6234200687). Единая экосистема двух сайтов.</w:t>
      </w:r>
    </w:p>
    <w:p>
      <w:pPr>
        <w:pStyle w:val="ListBullet"/>
        <w:spacing w:after="20"/>
      </w:pPr>
      <w:r>
        <w:rPr>
          <w:b/>
          <w:sz w:val="20"/>
        </w:rPr>
        <w:t xml:space="preserve">Трафик: </w:t>
      </w:r>
      <w:r>
        <w:rPr>
          <w:sz w:val="20"/>
        </w:rPr>
        <w:t>~750 тыс. визитов/мес суммарно (101internet ~508K, moskvaonline ~241K; Similarweb)</w:t>
      </w:r>
    </w:p>
    <w:p>
      <w:pPr>
        <w:pStyle w:val="ListBullet"/>
        <w:spacing w:after="20"/>
      </w:pPr>
      <w:r>
        <w:rPr>
          <w:b/>
          <w:sz w:val="20"/>
        </w:rPr>
        <w:t xml:space="preserve">Выручка: </w:t>
      </w:r>
      <w:r>
        <w:rPr>
          <w:sz w:val="20"/>
        </w:rPr>
        <w:t>39,2 млн ₽ (2023) → 85,8 млн (2024, +119%) → 129 млн (2025, +50%)</w:t>
      </w:r>
    </w:p>
    <w:p>
      <w:pPr>
        <w:pStyle w:val="ListBullet"/>
        <w:spacing w:after="20"/>
      </w:pPr>
      <w:r>
        <w:rPr>
          <w:b/>
          <w:sz w:val="20"/>
        </w:rPr>
        <w:t xml:space="preserve">Прибыль: </w:t>
      </w:r>
      <w:r>
        <w:rPr>
          <w:sz w:val="20"/>
        </w:rPr>
        <w:t>6,5 → 20,3 → 22,7 млн ₽ (маржа ~18%)</w:t>
      </w:r>
    </w:p>
    <w:p>
      <w:pPr>
        <w:pStyle w:val="ListBullet"/>
        <w:spacing w:after="20"/>
      </w:pPr>
      <w:r>
        <w:rPr>
          <w:b/>
          <w:sz w:val="20"/>
        </w:rPr>
        <w:t xml:space="preserve">Модель: </w:t>
      </w:r>
      <w:r>
        <w:rPr>
          <w:sz w:val="20"/>
        </w:rPr>
        <w:t>CPA; заявлено «вознаграждение от провайдеров — самое высокое на рынке» + выплата провайдеру на месяц раньше</w:t>
      </w:r>
    </w:p>
    <w:p>
      <w:pPr>
        <w:pStyle w:val="ListBullet"/>
        <w:spacing w:after="20"/>
      </w:pPr>
      <w:r>
        <w:rPr>
          <w:b/>
          <w:sz w:val="20"/>
        </w:rPr>
        <w:t xml:space="preserve">База покрытия: </w:t>
      </w:r>
      <w:r>
        <w:rPr>
          <w:sz w:val="20"/>
        </w:rPr>
        <w:t>~7 млн адресов</w:t>
      </w:r>
    </w:p>
    <w:p>
      <w:pPr>
        <w:pStyle w:val="ListBullet"/>
        <w:spacing w:after="20"/>
      </w:pPr>
      <w:r>
        <w:rPr>
          <w:b/>
          <w:sz w:val="20"/>
        </w:rPr>
        <w:t xml:space="preserve">Сильные стороны: </w:t>
      </w:r>
      <w:r>
        <w:rPr>
          <w:sz w:val="20"/>
        </w:rPr>
        <w:t>реальная прибыльность, масштаб базы, две площадки на один трафик</w:t>
      </w:r>
    </w:p>
    <w:p>
      <w:pPr>
        <w:pStyle w:val="ListBullet"/>
        <w:spacing w:after="20"/>
      </w:pPr>
      <w:r>
        <w:rPr>
          <w:b/>
          <w:sz w:val="20"/>
        </w:rPr>
        <w:t xml:space="preserve">Чему учиться: </w:t>
      </w:r>
      <w:r>
        <w:rPr>
          <w:sz w:val="20"/>
        </w:rPr>
        <w:t>это доказательство модели и ориентир юнит-экономики; повторяемо на меньшем масштабе</w:t>
      </w:r>
    </w:p>
    <w:p>
      <w:pPr>
        <w:spacing w:after="120" w:before="40"/>
      </w:pPr>
      <w:r>
        <w:rPr>
          <w:b w:val="0"/>
          <w:i/>
          <w:color w:val="606060"/>
          <w:sz w:val="18"/>
        </w:rPr>
        <w:t>Единственные публичные финансы в сегменте (годовая отчётность) — самый надёжный бенчмарк.</w:t>
      </w:r>
    </w:p>
    <w:p>
      <w:pPr>
        <w:spacing w:after="40" w:before="160"/>
      </w:pPr>
      <w:r>
        <w:rPr>
          <w:b/>
          <w:i w:val="0"/>
          <w:color w:val="1F4E79"/>
          <w:sz w:val="22"/>
        </w:rPr>
        <w:t xml:space="preserve">▸ </w:t>
      </w:r>
      <w:r>
        <w:rPr>
          <w:b/>
          <w:i w:val="0"/>
          <w:sz w:val="24"/>
        </w:rPr>
        <w:t>dominternet.ru — лидер по трафику</w:t>
      </w:r>
    </w:p>
    <w:p>
      <w:pPr>
        <w:spacing w:after="60" w:before="0"/>
      </w:pPr>
      <w:r>
        <w:rPr>
          <w:b w:val="0"/>
          <w:i/>
          <w:color w:val="606060"/>
          <w:sz w:val="18"/>
        </w:rPr>
        <w:t>ООО «Интернет-Тариф». Крупнейший агрегатор по посещаемости.</w:t>
      </w:r>
    </w:p>
    <w:p>
      <w:pPr>
        <w:pStyle w:val="ListBullet"/>
        <w:spacing w:after="20"/>
      </w:pPr>
      <w:r>
        <w:rPr>
          <w:b/>
          <w:sz w:val="20"/>
        </w:rPr>
        <w:t xml:space="preserve">Трафик: </w:t>
      </w:r>
      <w:r>
        <w:rPr>
          <w:sz w:val="20"/>
        </w:rPr>
        <w:t>~365–716 тыс. визитов/мес (пик дек-2025 716K, спад к маю-2026 365K; Similarweb)</w:t>
      </w:r>
    </w:p>
    <w:p>
      <w:pPr>
        <w:pStyle w:val="ListBullet"/>
        <w:spacing w:after="20"/>
      </w:pPr>
      <w:r>
        <w:rPr>
          <w:b/>
          <w:sz w:val="20"/>
        </w:rPr>
        <w:t xml:space="preserve">Финансы: </w:t>
      </w:r>
      <w:r>
        <w:rPr>
          <w:sz w:val="20"/>
        </w:rPr>
        <w:t>не раскрыты</w:t>
      </w:r>
    </w:p>
    <w:p>
      <w:pPr>
        <w:pStyle w:val="ListBullet"/>
        <w:spacing w:after="20"/>
      </w:pPr>
      <w:r>
        <w:rPr>
          <w:b/>
          <w:sz w:val="20"/>
        </w:rPr>
        <w:t xml:space="preserve">База покрытия: </w:t>
      </w:r>
      <w:r>
        <w:rPr>
          <w:sz w:val="20"/>
        </w:rPr>
        <w:t>~6,5 млн домов (заявлено)</w:t>
      </w:r>
    </w:p>
    <w:p>
      <w:pPr>
        <w:pStyle w:val="ListBullet"/>
        <w:spacing w:after="20"/>
      </w:pPr>
      <w:r>
        <w:rPr>
          <w:b/>
          <w:sz w:val="20"/>
        </w:rPr>
        <w:t xml:space="preserve">Органика: </w:t>
      </w:r>
      <w:r>
        <w:rPr>
          <w:sz w:val="20"/>
        </w:rPr>
        <w:t>~47–69% (не «90%», как иногда заявляют)</w:t>
      </w:r>
    </w:p>
    <w:p>
      <w:pPr>
        <w:pStyle w:val="ListBullet"/>
        <w:spacing w:after="20"/>
      </w:pPr>
      <w:r>
        <w:rPr>
          <w:b/>
          <w:sz w:val="20"/>
        </w:rPr>
        <w:t xml:space="preserve">Трафик-магниты: </w:t>
      </w:r>
      <w:r>
        <w:rPr>
          <w:sz w:val="20"/>
        </w:rPr>
        <w:t>инструменты speedtest / «спидометр» / интернетометр — вытягивают трафик, потом конвертят</w:t>
      </w:r>
    </w:p>
    <w:p>
      <w:pPr>
        <w:pStyle w:val="ListBullet"/>
        <w:spacing w:after="20"/>
      </w:pPr>
      <w:r>
        <w:rPr>
          <w:b/>
          <w:sz w:val="20"/>
        </w:rPr>
        <w:t xml:space="preserve">Сильные стороны: </w:t>
      </w:r>
      <w:r>
        <w:rPr>
          <w:sz w:val="20"/>
        </w:rPr>
        <w:t>масштаб SEO, инструменты-магниты</w:t>
      </w:r>
    </w:p>
    <w:p>
      <w:pPr>
        <w:pStyle w:val="ListBullet"/>
        <w:spacing w:after="20"/>
      </w:pPr>
      <w:r>
        <w:rPr>
          <w:b/>
          <w:sz w:val="20"/>
        </w:rPr>
        <w:t xml:space="preserve">Чему учиться: </w:t>
      </w:r>
      <w:r>
        <w:rPr>
          <w:sz w:val="20"/>
        </w:rPr>
        <w:t>сервисы-магниты (проверка скорости) как источник трафика поверх «по адресу»</w:t>
      </w:r>
    </w:p>
    <w:p>
      <w:pPr>
        <w:spacing w:after="40" w:before="160"/>
      </w:pPr>
      <w:r>
        <w:rPr>
          <w:b/>
          <w:i w:val="0"/>
          <w:color w:val="1F4E79"/>
          <w:sz w:val="22"/>
        </w:rPr>
        <w:t xml:space="preserve">▸ </w:t>
      </w:r>
      <w:r>
        <w:rPr>
          <w:b/>
          <w:i w:val="0"/>
          <w:sz w:val="24"/>
        </w:rPr>
        <w:t>tarifnik.ru</w:t>
      </w:r>
    </w:p>
    <w:p>
      <w:pPr>
        <w:spacing w:after="60" w:before="0"/>
      </w:pPr>
      <w:r>
        <w:rPr>
          <w:b w:val="0"/>
          <w:i/>
          <w:color w:val="606060"/>
          <w:sz w:val="18"/>
        </w:rPr>
        <w:t>ИП Горбушин А.А. Федеральный охват.</w:t>
      </w:r>
    </w:p>
    <w:p>
      <w:pPr>
        <w:pStyle w:val="ListBullet"/>
        <w:spacing w:after="20"/>
      </w:pPr>
      <w:r>
        <w:rPr>
          <w:b/>
          <w:sz w:val="20"/>
        </w:rPr>
        <w:t xml:space="preserve">Трафик: </w:t>
      </w:r>
      <w:r>
        <w:rPr>
          <w:sz w:val="20"/>
        </w:rPr>
        <w:t>~62–79 тыс. визитов/мес</w:t>
      </w:r>
    </w:p>
    <w:p>
      <w:pPr>
        <w:pStyle w:val="ListBullet"/>
        <w:spacing w:after="20"/>
      </w:pPr>
      <w:r>
        <w:rPr>
          <w:b/>
          <w:sz w:val="20"/>
        </w:rPr>
        <w:t xml:space="preserve">Масштаб: </w:t>
      </w:r>
      <w:r>
        <w:rPr>
          <w:sz w:val="20"/>
        </w:rPr>
        <w:t>заявлено 826 тыс. подключений, 89 регионов</w:t>
      </w:r>
    </w:p>
    <w:p>
      <w:pPr>
        <w:pStyle w:val="ListBullet"/>
        <w:spacing w:after="20"/>
      </w:pPr>
      <w:r>
        <w:rPr>
          <w:b/>
          <w:sz w:val="20"/>
        </w:rPr>
        <w:t xml:space="preserve">Финансы: </w:t>
      </w:r>
      <w:r>
        <w:rPr>
          <w:sz w:val="20"/>
        </w:rPr>
        <w:t>не раскрыты (ИП)</w:t>
      </w:r>
    </w:p>
    <w:p>
      <w:pPr>
        <w:pStyle w:val="ListBullet"/>
        <w:spacing w:after="20"/>
      </w:pPr>
      <w:r>
        <w:rPr>
          <w:b/>
          <w:sz w:val="20"/>
        </w:rPr>
        <w:t xml:space="preserve">Модель: </w:t>
      </w:r>
      <w:r>
        <w:rPr>
          <w:sz w:val="20"/>
        </w:rPr>
        <w:t>партнёрство с 100+ провайдерами, колл-центр, обратный звонок</w:t>
      </w:r>
    </w:p>
    <w:p>
      <w:pPr>
        <w:pStyle w:val="ListBullet"/>
        <w:spacing w:after="20"/>
      </w:pPr>
      <w:r>
        <w:rPr>
          <w:b/>
          <w:sz w:val="20"/>
        </w:rPr>
        <w:t xml:space="preserve">Чему учиться: </w:t>
      </w:r>
      <w:r>
        <w:rPr>
          <w:sz w:val="20"/>
        </w:rPr>
        <w:t>широкий охват регионов + партнёрская сеть; но по трафику отстаёт от лидеров</w:t>
      </w:r>
    </w:p>
    <w:p>
      <w:pPr>
        <w:spacing w:after="40" w:before="160"/>
      </w:pPr>
      <w:r>
        <w:rPr>
          <w:b/>
          <w:i w:val="0"/>
          <w:color w:val="1F4E79"/>
          <w:sz w:val="22"/>
        </w:rPr>
        <w:t xml:space="preserve">▸ </w:t>
      </w:r>
      <w:r>
        <w:rPr>
          <w:b/>
          <w:i w:val="0"/>
          <w:sz w:val="24"/>
        </w:rPr>
        <w:t>provayder.net («Выбирай.нет»)</w:t>
      </w:r>
    </w:p>
    <w:p>
      <w:pPr>
        <w:spacing w:after="60" w:before="0"/>
      </w:pPr>
      <w:r>
        <w:rPr>
          <w:b w:val="0"/>
          <w:i/>
          <w:color w:val="606060"/>
          <w:sz w:val="18"/>
        </w:rPr>
        <w:t>Региональный игрок.</w:t>
      </w:r>
    </w:p>
    <w:p>
      <w:pPr>
        <w:pStyle w:val="ListBullet"/>
        <w:spacing w:after="20"/>
      </w:pPr>
      <w:r>
        <w:rPr>
          <w:b/>
          <w:sz w:val="20"/>
        </w:rPr>
        <w:t xml:space="preserve">Трафик: </w:t>
      </w:r>
      <w:r>
        <w:rPr>
          <w:sz w:val="20"/>
        </w:rPr>
        <w:t>~53 тыс. визитов/мес</w:t>
      </w:r>
    </w:p>
    <w:p>
      <w:pPr>
        <w:pStyle w:val="ListBullet"/>
        <w:spacing w:after="20"/>
      </w:pPr>
      <w:r>
        <w:rPr>
          <w:b/>
          <w:sz w:val="20"/>
        </w:rPr>
        <w:t xml:space="preserve">География: </w:t>
      </w:r>
      <w:r>
        <w:rPr>
          <w:sz w:val="20"/>
        </w:rPr>
        <w:t>Красноярск + ~30 городов Сибири</w:t>
      </w:r>
    </w:p>
    <w:p>
      <w:pPr>
        <w:pStyle w:val="ListBullet"/>
        <w:spacing w:after="20"/>
      </w:pPr>
      <w:r>
        <w:rPr>
          <w:b/>
          <w:sz w:val="20"/>
        </w:rPr>
        <w:t xml:space="preserve">Заявка: </w:t>
      </w:r>
      <w:r>
        <w:rPr>
          <w:sz w:val="20"/>
        </w:rPr>
        <w:t>«800 подключений/день» (самоотчёт, вероятно приукрашено)</w:t>
      </w:r>
    </w:p>
    <w:p>
      <w:pPr>
        <w:pStyle w:val="ListBullet"/>
        <w:spacing w:after="20"/>
      </w:pPr>
      <w:r>
        <w:rPr>
          <w:b/>
          <w:sz w:val="20"/>
        </w:rPr>
        <w:t xml:space="preserve">Чему учиться: </w:t>
      </w:r>
      <w:r>
        <w:rPr>
          <w:sz w:val="20"/>
        </w:rPr>
        <w:t>региональная модель — можно доминировать в одном регионе, не конкурируя с федералами по всей РФ</w:t>
      </w:r>
    </w:p>
    <w:p>
      <w:pPr>
        <w:spacing w:after="40" w:before="160"/>
      </w:pPr>
      <w:r>
        <w:rPr>
          <w:b/>
          <w:i w:val="0"/>
          <w:color w:val="1F4E79"/>
          <w:sz w:val="22"/>
        </w:rPr>
        <w:t xml:space="preserve">▸ </w:t>
      </w:r>
      <w:r>
        <w:rPr>
          <w:b/>
          <w:i w:val="0"/>
          <w:sz w:val="24"/>
        </w:rPr>
        <w:t>Сравни.ру (косвенный)</w:t>
      </w:r>
    </w:p>
    <w:p>
      <w:pPr>
        <w:spacing w:after="60" w:before="0"/>
      </w:pPr>
      <w:r>
        <w:rPr>
          <w:b w:val="0"/>
          <w:i/>
          <w:color w:val="606060"/>
          <w:sz w:val="18"/>
        </w:rPr>
        <w:t>Крупный финансовый маркетплейс с разделом телеком.</w:t>
      </w:r>
    </w:p>
    <w:p>
      <w:pPr>
        <w:pStyle w:val="ListBullet"/>
        <w:spacing w:after="20"/>
      </w:pPr>
      <w:r>
        <w:rPr>
          <w:b/>
          <w:sz w:val="20"/>
        </w:rPr>
        <w:t xml:space="preserve">Профиль: </w:t>
      </w:r>
      <w:r>
        <w:rPr>
          <w:sz w:val="20"/>
        </w:rPr>
        <w:t>основной бизнес — страхование/кредиты; телеком не в фокусе</w:t>
      </w:r>
    </w:p>
    <w:p>
      <w:pPr>
        <w:pStyle w:val="ListBullet"/>
        <w:spacing w:after="20"/>
      </w:pPr>
      <w:r>
        <w:rPr>
          <w:b/>
          <w:sz w:val="20"/>
        </w:rPr>
        <w:t xml:space="preserve">Сила: </w:t>
      </w:r>
      <w:r>
        <w:rPr>
          <w:sz w:val="20"/>
        </w:rPr>
        <w:t>огромный бренд и трафик</w:t>
      </w:r>
    </w:p>
    <w:p>
      <w:pPr>
        <w:pStyle w:val="ListBullet"/>
        <w:spacing w:after="20"/>
      </w:pPr>
      <w:r>
        <w:rPr>
          <w:b/>
          <w:sz w:val="20"/>
        </w:rPr>
        <w:t xml:space="preserve">Для тебя: </w:t>
      </w:r>
      <w:r>
        <w:rPr>
          <w:sz w:val="20"/>
        </w:rPr>
        <w:t>не сфокусированный конкурент по «интернет по адресу» — ниша сравнения провайдеров по дому им не приоритет</w:t>
      </w:r>
    </w:p>
    <w:p>
      <w:pPr>
        <w:spacing w:after="120" w:before="40"/>
      </w:pPr>
      <w:r>
        <w:rPr>
          <w:b w:val="0"/>
          <w:i/>
          <w:color w:val="606060"/>
          <w:sz w:val="18"/>
        </w:rPr>
        <w:t>По телеком-сравнению — не профильный игрок; прямой угрозы в нише «по адресу» не создаёт.</w:t>
      </w:r>
    </w:p>
    <w:p>
      <w:pPr>
        <w:spacing w:after="80" w:before="160"/>
      </w:pPr>
      <w:r>
        <w:rPr>
          <w:b/>
          <w:i w:val="0"/>
          <w:sz w:val="22"/>
        </w:rPr>
        <w:t>Западные бенчмарки (потолок модели)</w:t>
      </w:r>
    </w:p>
    <w:p>
      <w:pPr>
        <w:spacing w:after="40" w:before="160"/>
      </w:pPr>
      <w:r>
        <w:rPr>
          <w:b/>
          <w:i w:val="0"/>
          <w:color w:val="1F4E79"/>
          <w:sz w:val="22"/>
        </w:rPr>
        <w:t xml:space="preserve">▸ </w:t>
      </w:r>
      <w:r>
        <w:rPr>
          <w:b/>
          <w:i w:val="0"/>
          <w:sz w:val="24"/>
        </w:rPr>
        <w:t>MoneySuperMarket (MONY Group plc), UK</w:t>
      </w:r>
    </w:p>
    <w:p>
      <w:pPr>
        <w:spacing w:after="60" w:before="0"/>
      </w:pPr>
      <w:r>
        <w:rPr>
          <w:b w:val="0"/>
          <w:i/>
          <w:color w:val="606060"/>
          <w:sz w:val="18"/>
        </w:rPr>
        <w:t>Зрелый публичный агрегатор — показывает потолок модели.</w:t>
      </w:r>
    </w:p>
    <w:p>
      <w:pPr>
        <w:pStyle w:val="ListBullet"/>
        <w:spacing w:after="20"/>
      </w:pPr>
      <w:r>
        <w:rPr>
          <w:b/>
          <w:sz w:val="20"/>
        </w:rPr>
        <w:t xml:space="preserve">Выручка FY2025: </w:t>
      </w:r>
      <w:r>
        <w:rPr>
          <w:sz w:val="20"/>
        </w:rPr>
        <w:t>£446,3 млн</w:t>
      </w:r>
    </w:p>
    <w:p>
      <w:pPr>
        <w:pStyle w:val="ListBullet"/>
        <w:spacing w:after="20"/>
      </w:pPr>
      <w:r>
        <w:rPr>
          <w:b/>
          <w:sz w:val="20"/>
        </w:rPr>
        <w:t xml:space="preserve">Операционная прибыль: </w:t>
      </w:r>
      <w:r>
        <w:rPr>
          <w:sz w:val="20"/>
        </w:rPr>
        <w:t>£117,4 млн; чистая ~£80,7 млн (маржа ~18%)</w:t>
      </w:r>
    </w:p>
    <w:p>
      <w:pPr>
        <w:pStyle w:val="ListBullet"/>
        <w:spacing w:after="20"/>
      </w:pPr>
      <w:r>
        <w:rPr>
          <w:b/>
          <w:sz w:val="20"/>
        </w:rPr>
        <w:t xml:space="preserve">Модель: </w:t>
      </w:r>
      <w:r>
        <w:rPr>
          <w:sz w:val="20"/>
        </w:rPr>
        <w:t>комиссия/реферальные сборы с провайдеров за покупку клиента</w:t>
      </w:r>
    </w:p>
    <w:p>
      <w:pPr>
        <w:pStyle w:val="ListBullet"/>
        <w:spacing w:after="20"/>
      </w:pPr>
      <w:r>
        <w:rPr>
          <w:b/>
          <w:sz w:val="20"/>
        </w:rPr>
        <w:t xml:space="preserve">Вывод: </w:t>
      </w:r>
      <w:r>
        <w:rPr>
          <w:sz w:val="20"/>
        </w:rPr>
        <w:t>lead-gen агрегатор масштабируется до сотен млн выручки при высокой марже</w:t>
      </w:r>
    </w:p>
    <w:p>
      <w:pPr>
        <w:spacing w:after="40" w:before="160"/>
      </w:pPr>
      <w:r>
        <w:rPr>
          <w:b/>
          <w:i w:val="0"/>
          <w:color w:val="1F4E79"/>
          <w:sz w:val="22"/>
        </w:rPr>
        <w:t xml:space="preserve">▸ </w:t>
      </w:r>
      <w:r>
        <w:rPr>
          <w:b/>
          <w:i w:val="0"/>
          <w:sz w:val="24"/>
        </w:rPr>
        <w:t>broadbandchoices / uSwitch, UK</w:t>
      </w:r>
    </w:p>
    <w:p>
      <w:pPr>
        <w:spacing w:after="60" w:before="0"/>
      </w:pPr>
      <w:r>
        <w:rPr>
          <w:b w:val="0"/>
          <w:i/>
          <w:color w:val="606060"/>
          <w:sz w:val="18"/>
        </w:rPr>
        <w:t>Профильные агрегаторы связи и энергии.</w:t>
      </w:r>
    </w:p>
    <w:p>
      <w:pPr>
        <w:pStyle w:val="ListBullet"/>
        <w:spacing w:after="20"/>
      </w:pPr>
      <w:r>
        <w:rPr>
          <w:b/>
          <w:sz w:val="20"/>
        </w:rPr>
        <w:t xml:space="preserve">Модель: </w:t>
      </w:r>
      <w:r>
        <w:rPr>
          <w:sz w:val="20"/>
        </w:rPr>
        <w:t>реклама + комиссии провайдеров; аффилиат «до £30 за продажу»</w:t>
      </w:r>
    </w:p>
    <w:p>
      <w:pPr>
        <w:pStyle w:val="ListBullet"/>
        <w:spacing w:after="20"/>
      </w:pPr>
      <w:r>
        <w:rPr>
          <w:b/>
          <w:sz w:val="20"/>
        </w:rPr>
        <w:t xml:space="preserve">Энергокомиссия: </w:t>
      </w:r>
      <w:r>
        <w:rPr>
          <w:sz w:val="20"/>
        </w:rPr>
        <w:t>~£22–30 за переключение (бенчмарк 2015)</w:t>
      </w:r>
    </w:p>
    <w:p>
      <w:pPr>
        <w:pStyle w:val="ListBullet"/>
        <w:spacing w:after="20"/>
      </w:pPr>
      <w:r>
        <w:rPr>
          <w:b/>
          <w:sz w:val="20"/>
        </w:rPr>
        <w:t xml:space="preserve">Урок-риск: </w:t>
      </w:r>
      <w:r>
        <w:rPr>
          <w:sz w:val="20"/>
        </w:rPr>
        <w:t>модель цикличная: в 2021 в UK переключения рухнули, 25+ энергокомпаний обанкротились</w:t>
      </w:r>
    </w:p>
    <w:p>
      <w:pPr>
        <w:spacing w:after="40" w:before="160"/>
      </w:pPr>
      <w:r>
        <w:rPr>
          <w:b/>
          <w:i w:val="0"/>
          <w:sz w:val="22"/>
        </w:rPr>
        <w:t>Сводная таблица конкурентов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Игрок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Трафик/мес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Выручка/год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Профиль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101internet+moskvaonline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~750K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129 млн 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эталон, прибылен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dominternet.ru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~365–716K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н/д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лидер трафика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tarifnik.ru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~62–79K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н/д (ИП)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федеральный охват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provayder.net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~53K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н/д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региональный (Сибирь)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MoneySuperMarket (UK)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£446 млн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потолок модели</w:t>
            </w:r>
          </w:p>
        </w:tc>
      </w:tr>
    </w:tbl>
    <w:p>
      <w:pPr>
        <w:pStyle w:val="Heading1"/>
      </w:pPr>
      <w:r>
        <w:rPr>
          <w:color w:val="1F4E79"/>
        </w:rPr>
        <w:t>4. План развития (по фазам)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Фаза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Что делаем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Цель / метрика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 Подготовка</w:t>
              <w:br/>
              <w:t>(1–3 нед.)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Регистрация в CPA (Admitad/Pampadu), 2–3 оффера провайдеров. Собрать реальное покрытие 1 района (20–50 домов).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Первый реальный CSV покрытия залит; NEXT_PUBLIC_DEMO=0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Первые деньги</w:t>
              <w:br/>
              <w:t>(1–2 мес.)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Запуск одного города/района. SEO-гео-страницы индексируются. Обзвон заявок делаешь сам.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10–30 заявок/мес, первые подтверждённые подключения и выплаты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2. SEO-масштаб</w:t>
              <w:br/>
              <w:t>(3–6 мес.)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Массовая генерация гео-страниц (улицы/дома), сервисы-магниты (проверка скорости), контент.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10–50 тыс. визитов/мес; выход на ~240K–1,2 млн ₽/мес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3. Расширение</w:t>
              <w:br/>
              <w:t>(6–12 мес.)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Больше городов, аутсорс колл-центра, оптимизация аппрува, прямые договоры с провайдерами.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50–150 тыс. визитов/мес; стабильная прибыль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4. Доп. монетизация</w:t>
              <w:br/>
              <w:t>(12+ мес.)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B2B-конструктор тарифов для провайдеров, реклама/приоритет в выдаче, смежные вертикали (мобайл, ТВ).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Диверсификация дохода поверх CPA</w:t>
            </w:r>
          </w:p>
        </w:tc>
      </w:tr>
    </w:tbl>
    <w:p>
      <w:pPr>
        <w:spacing w:after="40" w:before="120"/>
      </w:pPr>
      <w:r>
        <w:rPr>
          <w:b/>
          <w:i w:val="0"/>
          <w:sz w:val="22"/>
        </w:rPr>
        <w:t>Два рычага, которые решают всё:</w:t>
      </w:r>
    </w:p>
    <w:p>
      <w:pPr>
        <w:pStyle w:val="ListBullet"/>
        <w:spacing w:after="60"/>
      </w:pPr>
      <w:r>
        <w:rPr>
          <w:sz w:val="20"/>
        </w:rPr>
        <w:t>трафик — почти весь бесплатный SEO (гео-страницы «провайдеры по адресу» уже built);</w:t>
      </w:r>
    </w:p>
    <w:p>
      <w:pPr>
        <w:pStyle w:val="ListBullet"/>
        <w:spacing w:after="60"/>
      </w:pPr>
      <w:r>
        <w:rPr>
          <w:sz w:val="20"/>
        </w:rPr>
        <w:t>аппрув — доля заявок, дошедших до подключения; зависит от скорости и качества обзвона.</w:t>
      </w:r>
    </w:p>
    <w:p>
      <w:pPr>
        <w:pStyle w:val="Heading1"/>
      </w:pPr>
      <w:r>
        <w:rPr>
          <w:color w:val="1F4E79"/>
        </w:rPr>
        <w:t>5. Финансовая модель (сценарии)</w:t>
      </w:r>
    </w:p>
    <w:p>
      <w:pPr>
        <w:spacing w:after="80" w:before="0"/>
      </w:pPr>
      <w:r>
        <w:rPr>
          <w:b w:val="0"/>
          <w:i w:val="0"/>
          <w:sz w:val="20"/>
        </w:rPr>
        <w:t>Допущения: визит→заявка 4%, заявка→подключение 30%, средняя ставка 2000 ₽ → доход ≈ 24 ₽ с визита.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Визитов/мес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Заявок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Подключений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Выручка/мес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Выручка/год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~240 000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~2,9 млн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~1,2 млн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~14 млн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~4 000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~1 200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~2,4 млн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~29 млн 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500 000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~20 000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~6 000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~12 млн 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~144 млн ₽</w:t>
            </w:r>
          </w:p>
        </w:tc>
      </w:tr>
    </w:tbl>
    <w:p>
      <w:pPr>
        <w:spacing w:after="120" w:before="40"/>
      </w:pPr>
      <w:r>
        <w:rPr>
          <w:b/>
          <w:i w:val="0"/>
          <w:sz w:val="22"/>
        </w:rPr>
        <w:t xml:space="preserve">Проверка реальностью: </w:t>
      </w:r>
      <w:r>
        <w:rPr>
          <w:b w:val="0"/>
          <w:i w:val="0"/>
          <w:sz w:val="22"/>
        </w:rPr>
        <w:t>500 тыс. визитов ≈ 144 млн ₽/год — сходится с фактом конкурента (101internet: ~750K визитов, 129 млн ₽). Модель считается корректно.</w:t>
      </w:r>
    </w:p>
    <w:p>
      <w:pPr>
        <w:spacing w:after="40" w:before="120"/>
      </w:pPr>
      <w:r>
        <w:rPr>
          <w:b/>
          <w:i w:val="0"/>
          <w:sz w:val="22"/>
        </w:rPr>
        <w:t>Расходы (порядок величин)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Статья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Стоимость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Хостинг (Vercel+Neon)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– несколько тыс. ₽/мес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 старте бесплатно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Колл-центр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 ~57 000 ₽/мес (аутсорс) / 0 (сам)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 старте звонишь сам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SEO/контент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основная инвестиция (время/подрядчики)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гео-страницы уже готовы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Поддержка покрытия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труд (ручной сбор/актуализация)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главный операционный ров</w:t>
            </w:r>
          </w:p>
        </w:tc>
      </w:tr>
    </w:tbl>
    <w:p>
      <w:pPr>
        <w:spacing w:after="120" w:before="0"/>
      </w:pPr>
      <w:r>
        <w:rPr>
          <w:b/>
          <w:i w:val="0"/>
          <w:sz w:val="22"/>
        </w:rPr>
        <w:t xml:space="preserve">Вывод по экономике: </w:t>
      </w:r>
      <w:r>
        <w:rPr>
          <w:b w:val="0"/>
          <w:i w:val="0"/>
          <w:sz w:val="22"/>
        </w:rPr>
        <w:t>маржа высокая (у зрелого лидера ~18%), себестоимость визита близка к нулю. Точка безубыточности достигается очень рано — ~2 400 визитов/мес уже покрывают аутсорс-колл-центр. Ограничение не в расходах, а в объёме трафика и качестве обзвона.</w:t>
      </w:r>
    </w:p>
    <w:p>
      <w:pPr>
        <w:pStyle w:val="Heading1"/>
      </w:pPr>
      <w:r>
        <w:rPr>
          <w:color w:val="1F4E79"/>
        </w:rPr>
        <w:t>6. Риски и как их снижать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Суть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Волатильность ставок CPA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провайдер может снизить выплату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несколько провайдеров/офферов, диверсификация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Зависимость от SEO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алгоритмы Google/Яндекс меняются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качественные гео-страницы + сервисы-магниты + бренд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Низкий аппрув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заявки не доходят до подключения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быстрый обзвон, скрипты, контроль качества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Свежесть покрытия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состав провайдеров по домам меняется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регулярный ре-импорт фидов (updatedAt/source уже built)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Регуляторика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лицензионная реформа ШПД с 01.09.2026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следить за составом операторов, гибкая база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Демпинг лидеров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dominternet/101internet сильны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начать с региона/района, не биться в лоб по всей РФ</w:t>
            </w:r>
          </w:p>
        </w:tc>
      </w:tr>
    </w:tbl>
    <w:p>
      <w:pPr>
        <w:pStyle w:val="Heading1"/>
      </w:pPr>
      <w:r>
        <w:rPr>
          <w:color w:val="1F4E79"/>
        </w:rPr>
        <w:t>7. Рекомендация: с чего начать</w:t>
      </w:r>
    </w:p>
    <w:p>
      <w:pPr>
        <w:pStyle w:val="ListNumber"/>
        <w:spacing w:after="60"/>
      </w:pPr>
      <w:r>
        <w:rPr>
          <w:sz w:val="22"/>
        </w:rPr>
        <w:t>Зарегистрируйся в Admitad/Pampadu, возьми офферы 2–3 провайдеров, которых реально можешь монетизировать.</w:t>
      </w:r>
    </w:p>
    <w:p>
      <w:pPr>
        <w:pStyle w:val="ListNumber"/>
        <w:spacing w:after="60"/>
      </w:pPr>
      <w:r>
        <w:rPr>
          <w:sz w:val="22"/>
        </w:rPr>
        <w:t>Собери реальное покрытие ОДНОГО района своего города (20–50 домов) — по гайду data/COVERAGE.md.</w:t>
      </w:r>
    </w:p>
    <w:p>
      <w:pPr>
        <w:pStyle w:val="ListNumber"/>
        <w:spacing w:after="60"/>
      </w:pPr>
      <w:r>
        <w:rPr>
          <w:sz w:val="22"/>
        </w:rPr>
        <w:t>Залей CSV, выключи демо-режим (NEXT_PUBLIC_DEMO=0), проверь весь путь на реальном адресе.</w:t>
      </w:r>
    </w:p>
    <w:p>
      <w:pPr>
        <w:pStyle w:val="ListNumber"/>
        <w:spacing w:after="60"/>
      </w:pPr>
      <w:r>
        <w:rPr>
          <w:sz w:val="22"/>
        </w:rPr>
        <w:t>Первые заявки обзванивай сам — измеришь реальный аппрув и стоимость лида.</w:t>
      </w:r>
    </w:p>
    <w:p>
      <w:pPr>
        <w:pStyle w:val="ListNumber"/>
        <w:spacing w:after="60"/>
      </w:pPr>
      <w:r>
        <w:rPr>
          <w:sz w:val="22"/>
        </w:rPr>
        <w:t>Работает → добавляй улицы/дома и города; SEO даёт рост трафика почти без затрат.</w:t>
      </w:r>
    </w:p>
    <w:p>
      <w:pPr>
        <w:spacing w:after="120" w:before="80"/>
      </w:pPr>
      <w:r>
        <w:rPr>
          <w:b w:val="0"/>
          <w:i/>
          <w:color w:val="606060"/>
          <w:sz w:val="22"/>
        </w:rPr>
        <w:t>Не пытайся сразу покрыть всю страну. Доминируй в одном районе/городе, отладь путь заявка→подключение→выплата, потом масштабируй. Так делали и лидеры.</w:t>
      </w:r>
    </w:p>
    <w:p>
      <w:pPr>
        <w:pStyle w:val="Heading2"/>
      </w:pPr>
      <w:r>
        <w:rPr>
          <w:color w:val="1F4E79"/>
        </w:rPr>
        <w:t>Приложение. Достоверность и источники</w:t>
      </w:r>
    </w:p>
    <w:p>
      <w:pPr>
        <w:spacing w:after="60" w:before="0"/>
      </w:pPr>
      <w:r>
        <w:rPr>
          <w:b w:val="0"/>
          <w:i w:val="0"/>
          <w:sz w:val="20"/>
        </w:rPr>
        <w:t>Проверено (высокая достоверность): финансы 101internet/moskvaonline (rusprofile/годовая отчётность); MoneySuperMarket FY2025 (RNS); ставки CPA (карточки Pampadu); трафик (Similarweb — порядок величин).</w:t>
      </w:r>
    </w:p>
    <w:p>
      <w:pPr>
        <w:spacing w:after="60" w:before="0"/>
      </w:pPr>
      <w:r>
        <w:rPr>
          <w:b w:val="0"/>
          <w:i w:val="0"/>
          <w:sz w:val="20"/>
        </w:rPr>
        <w:t>Оценка (не факт): воронка визит→заявка→подключение (нет открытых данных по нише, взято по смежным бенчмаркам); финмодель построена на этих оценках; самоотчёты игроков («800 подключений/день») могут быть приукрашены.</w:t>
      </w:r>
    </w:p>
    <w:p>
      <w:pPr>
        <w:spacing w:after="120" w:before="0"/>
      </w:pPr>
      <w:r>
        <w:rPr>
          <w:b w:val="0"/>
          <w:i/>
          <w:color w:val="606060"/>
          <w:sz w:val="20"/>
        </w:rPr>
        <w:t>Сознательно НЕ используются: пресс-релизные оценки объёма рынка (TAM) — в исследовании не прошли проверку. Подробные исходные отчёты — в папке research/.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