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Тарифные платформы</w:t>
      </w:r>
    </w:p>
    <w:p>
      <w:pPr>
        <w:spacing w:after="280" w:before="0"/>
      </w:pPr>
      <w:r>
        <w:rPr>
          <w:b w:val="0"/>
          <w:i/>
          <w:color w:val="606060"/>
          <w:sz w:val="28"/>
        </w:rPr>
        <w:t>Исследование рынка, коммерческая модель и рекомендации по MVP</w:t>
      </w:r>
    </w:p>
    <w:p>
      <w:pPr>
        <w:spacing w:after="120" w:before="0"/>
      </w:pPr>
      <w:r>
        <w:rPr>
          <w:b/>
          <w:i w:val="0"/>
          <w:color w:val="606060"/>
          <w:sz w:val="20"/>
        </w:rPr>
        <w:t xml:space="preserve">Дата: </w:t>
      </w:r>
      <w:r>
        <w:rPr>
          <w:b w:val="0"/>
          <w:i w:val="0"/>
          <w:color w:val="606060"/>
          <w:sz w:val="20"/>
        </w:rPr>
        <w:t>15 июня 2026 г.</w:t>
      </w:r>
      <w:r>
        <w:rPr>
          <w:b/>
          <w:i w:val="0"/>
          <w:color w:val="606060"/>
          <w:sz w:val="20"/>
        </w:rPr>
        <w:t xml:space="preserve">    •    Стек проекта: </w:t>
      </w:r>
      <w:r>
        <w:rPr>
          <w:b w:val="0"/>
          <w:i w:val="0"/>
          <w:color w:val="606060"/>
          <w:sz w:val="20"/>
        </w:rPr>
        <w:t>Next.js + PostgreSQL</w:t>
      </w:r>
    </w:p>
    <w:p>
      <w:pPr>
        <w:spacing w:after="280" w:before="0"/>
      </w:pPr>
      <w:r>
        <w:rPr>
          <w:b/>
          <w:i w:val="0"/>
          <w:color w:val="606060"/>
          <w:sz w:val="20"/>
        </w:rPr>
        <w:t xml:space="preserve">Методология: </w:t>
      </w:r>
      <w:r>
        <w:rPr>
          <w:b w:val="0"/>
          <w:i w:val="0"/>
          <w:color w:val="606060"/>
          <w:sz w:val="20"/>
        </w:rPr>
        <w:t>глубокое исследование с веб-источниками и адверсариальной проверкой фактов. 5 направлений → 23 источника → 91 факт извлечён → 25 проверено (нужно 2 из 3 голосов «опровергнуть», чтобы факт убить) → 12 подтверждено, 13 убито. 105 агентов, ~1.44 млн токенов.</w:t>
      </w:r>
    </w:p>
    <w:p>
      <w:r>
        <w:br/>
      </w:r>
    </w:p>
    <w:p>
      <w:pPr>
        <w:pStyle w:val="Heading1"/>
      </w:pPr>
      <w:r>
        <w:rPr>
          <w:color w:val="1F4E79"/>
        </w:rPr>
        <w:t>1. Коммерческая модель — где деньги</w:t>
      </w:r>
    </w:p>
    <w:p>
      <w:pPr>
        <w:spacing w:after="160" w:before="0"/>
      </w:pPr>
      <w:r>
        <w:rPr>
          <w:b w:val="0"/>
          <w:i w:val="0"/>
          <w:sz w:val="22"/>
        </w:rPr>
        <w:t>Пользователь ничего не платит. Платформа бесплатна для конечного пользователя, а платит провайдер — за приведённого клиента. Это lead-gen / CPA-модель.</w:t>
      </w:r>
    </w:p>
    <w:p>
      <w:pPr>
        <w:spacing w:after="80" w:before="0"/>
      </w:pPr>
      <w:r>
        <w:rPr>
          <w:b/>
          <w:i w:val="0"/>
          <w:sz w:val="22"/>
        </w:rPr>
        <w:t>Два способа монетизации:</w:t>
      </w:r>
    </w:p>
    <w:p>
      <w:pPr>
        <w:pStyle w:val="ListBullet"/>
        <w:spacing w:after="60"/>
      </w:pPr>
      <w:r>
        <w:rPr>
          <w:sz w:val="22"/>
        </w:rPr>
        <w:t>CPA (за подключение) — провайдер платит фикс за каждого реально подключённого абонента. Основной и самый «жирный» вариант для домашнего интернета и ТВ.</w:t>
      </w:r>
    </w:p>
    <w:p>
      <w:pPr>
        <w:pStyle w:val="ListBullet"/>
        <w:spacing w:after="60"/>
      </w:pPr>
      <w:r>
        <w:rPr>
          <w:sz w:val="22"/>
        </w:rPr>
        <w:t>CPL (за лид) — платят за квалифицированную заявку (оставил телефон, согласился на звонок), даже если не подключился. Дешевле за штуку, но объём больше.</w:t>
      </w:r>
    </w:p>
    <w:p>
      <w:pPr>
        <w:spacing w:after="80" w:before="120"/>
      </w:pPr>
      <w:r>
        <w:rPr>
          <w:b/>
          <w:i w:val="0"/>
          <w:sz w:val="22"/>
        </w:rPr>
        <w:t>Потолок модели (подтверждено исследованием):</w:t>
      </w:r>
    </w:p>
    <w:p>
      <w:pPr>
        <w:spacing w:after="120" w:before="0"/>
      </w:pPr>
      <w:r>
        <w:rPr>
          <w:b w:val="0"/>
          <w:i w:val="0"/>
          <w:sz w:val="22"/>
        </w:rPr>
        <w:t>MoneySuperMarket на этой же модели делает £446 млн выручки и ~18% чистой маржи. Маржа высокая именно потому, что нет товара и склада — только трафик и передача заявок; себестоимость единицы близка к нулю (один сайт обслуживает и 100, и 100 000 заявок).</w:t>
      </w:r>
    </w:p>
    <w:p>
      <w:pPr>
        <w:spacing w:after="120" w:before="120"/>
      </w:pPr>
      <w:r>
        <w:rPr>
          <w:b/>
          <w:i w:val="0"/>
          <w:color w:val="C0392B"/>
          <w:sz w:val="22"/>
        </w:rPr>
        <w:t xml:space="preserve">Честная дыра в данных: </w:t>
      </w:r>
      <w:r>
        <w:rPr>
          <w:b w:val="0"/>
          <w:i w:val="0"/>
          <w:sz w:val="22"/>
        </w:rPr>
        <w:t>сколько именно платит российский провайдер за подключённого абонента — исследование НЕ подтвердило. Вся проверенная юнит-экономика британская (~£22–30 за переключение энергии, 2015 г.). Это вынесено в «открытые вопросы» как главный неизвестный параметр.</w:t>
      </w:r>
    </w:p>
    <w:p>
      <w:pPr>
        <w:spacing w:after="80" w:before="120"/>
      </w:pPr>
      <w:r>
        <w:rPr>
          <w:b/>
          <w:i w:val="0"/>
          <w:sz w:val="22"/>
        </w:rPr>
        <w:t>Ориентир из общих знаний рынка РФ (НЕ из проверенного отчёта, требует валидации):</w:t>
      </w:r>
    </w:p>
    <w:p>
      <w:pPr>
        <w:spacing w:after="120" w:before="0"/>
      </w:pPr>
      <w:r>
        <w:rPr>
          <w:b w:val="0"/>
          <w:i w:val="0"/>
          <w:sz w:val="22"/>
        </w:rPr>
        <w:t>В CPA-сетях типа Admitad подключение домашнего интернета обычно стоит провайдеру ориентировочно ~500–2000 ₽ за абонента; мобильные SIM — заметно меньше.</w:t>
      </w:r>
    </w:p>
    <w:p>
      <w:pPr>
        <w:spacing w:after="80" w:before="80"/>
      </w:pPr>
      <w:r>
        <w:rPr>
          <w:rFonts w:ascii="Consolas" w:hAnsi="Consolas"/>
          <w:color w:val="1F4E79"/>
          <w:sz w:val="20"/>
        </w:rPr>
        <w:t>Выручка = трафик × конверсия в заявку × конверсия заявки в подключение × CPA</w:t>
        <w:br/>
        <w:t>Пример (иллюстрация, не факт):</w:t>
        <w:br/>
        <w:t>10 000 визитов/мес × 4% в заявку × 25% в подключение × 1000 ₽ = 100 000 ₽/мес</w:t>
      </w:r>
    </w:p>
    <w:p>
      <w:pPr>
        <w:spacing w:after="120" w:before="80"/>
      </w:pPr>
      <w:r>
        <w:rPr>
          <w:b w:val="0"/>
          <w:i w:val="0"/>
          <w:sz w:val="22"/>
        </w:rPr>
        <w:t>Узкие места — трафик (SEO/контекст) и процент подтверждённых подключений (за это и платит провайдер). Поэтому первый MVP нужен, чтобы померить эти две конверсии на реальных данных, а не гадать.</w:t>
      </w:r>
    </w:p>
    <w:p>
      <w:pPr>
        <w:spacing w:after="120" w:before="0"/>
      </w:pPr>
      <w:r>
        <w:rPr>
          <w:b w:val="0"/>
          <w:i w:val="0"/>
          <w:sz w:val="22"/>
        </w:rPr>
        <w:t>Дополнительные источники денег той же платформы: реклама провайдеров (баннер/приоритет в выдаче), позже — продажа B2B-SaaS «конструктор тарифов» провайдерам (направление 3/4).</w:t>
      </w:r>
    </w:p>
    <w:p>
      <w:pPr>
        <w:pStyle w:val="Heading1"/>
      </w:pPr>
      <w:r>
        <w:rPr>
          <w:color w:val="1F4E79"/>
        </w:rPr>
        <w:t>2. Сводка (вердикт исследования)</w:t>
      </w:r>
    </w:p>
    <w:p>
      <w:pPr>
        <w:spacing w:after="120" w:before="0"/>
      </w:pPr>
      <w:r>
        <w:rPr>
          <w:b w:val="0"/>
          <w:i w:val="0"/>
          <w:sz w:val="22"/>
        </w:rPr>
        <w:t>Из четырёх направлений проверенные данные указывают: сравнение телеком/интернета и SaaS-биллинг / usage-based pricing — наиболее валидированные бизнес-модели; ЖКХ/энергетика упирается в жёсткую регуляторную стену в РФ.</w:t>
      </w:r>
    </w:p>
    <w:p>
      <w:pPr>
        <w:spacing w:after="120" w:before="0"/>
      </w:pPr>
      <w:r>
        <w:rPr>
          <w:b w:val="0"/>
          <w:i w:val="0"/>
          <w:sz w:val="22"/>
        </w:rPr>
        <w:t>Агрегаторы (Tarifnik.ru в РФ; broadbandchoices, MoneySuperMarket, uSwitch в UK) монетизируются через комиссии за лид/переключение — модель доказана и масштабируется до ~£446 млн выручки и ~18% чистой маржи (MoneySuperMarket), но комиссии за лид скромные (~£22–30) и объёмы переключений волатильны (в 2021 в UK переключения рухнули, 25+ энергокомпаний обанкротились).</w:t>
      </w:r>
    </w:p>
    <w:p>
      <w:pPr>
        <w:spacing w:after="120" w:before="0"/>
      </w:pPr>
      <w:r>
        <w:rPr>
          <w:b w:val="0"/>
          <w:i w:val="0"/>
          <w:sz w:val="22"/>
        </w:rPr>
        <w:t>Розничный рынок электроэнергии РФ — гос-регулируемые тарифы и «гарантирующие поставщики» без механизма смены для домохозяйств → uSwitch-модель для физлиц в РФ структурно невозможна (B2B частично либерализован).</w:t>
      </w:r>
    </w:p>
    <w:p>
      <w:pPr>
        <w:spacing w:after="120" w:before="0"/>
      </w:pPr>
      <w:r>
        <w:rPr>
          <w:b w:val="0"/>
          <w:i w:val="0"/>
          <w:sz w:val="22"/>
        </w:rPr>
        <w:t>SaaS-биллинг — сильный, но очень тесный и капиталоёмкий глобальный рынок (Stripe Billing, Zuora, Chargebee, Orb, Metronome — последнюю Stripe купил за $1 млрд в дек-2025). Для одиночки/малой команды в СНГ самый валидированный и не занятый коридор — РФ/СНГ агрегатор телеком+интернет+ТВ; «универсальный конструктор биллинга» перспективен, но капитало- и конкуренто-ёмок, и входить в него лучше через узкую вертикаль или нишу B2B-закупки энергии.</w:t>
      </w:r>
    </w:p>
    <w:p>
      <w:pPr>
        <w:pStyle w:val="Heading1"/>
      </w:pPr>
      <w:r>
        <w:rPr>
          <w:color w:val="1F4E79"/>
        </w:rPr>
        <w:t>3. Сравнительная таблица направлений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Потенциал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Сложность входа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Монетизация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Ниша в СНГ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Вердикт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 Связь/интернет/ТВ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Средний–высокий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Низкая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Комиссия за лид/подключение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Не насыщена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🟢 Начать здесь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2. ЖКХ/энергетика (физлица РФ)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Низкий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Высокая (регуляторика)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Заблокирована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🔴 Пропустить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2b. B2B-закупка энергии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Средний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Комиссия/брокеридж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Почти свободна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Открыта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3/4. SaaS-биллинг (горизонталь)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Очень высокая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SaaS + % с транзакций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Глобально тесно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🟡 Через нишу</w:t>
            </w:r>
          </w:p>
        </w:tc>
      </w:tr>
    </w:tbl>
    <w:p>
      <w:pPr>
        <w:pStyle w:val="Heading1"/>
      </w:pPr>
      <w:r>
        <w:rPr>
          <w:color w:val="1F4E79"/>
        </w:rPr>
        <w:t>4. Подтверждённые находки (4)</w:t>
      </w:r>
    </w:p>
    <w:p>
      <w:pPr>
        <w:spacing w:after="40" w:before="160"/>
      </w:pPr>
      <w:r>
        <w:rPr>
          <w:b/>
          <w:i w:val="0"/>
          <w:color w:val="2E7D32"/>
          <w:sz w:val="22"/>
        </w:rPr>
        <w:t xml:space="preserve">✓ </w:t>
      </w:r>
      <w:r>
        <w:rPr>
          <w:b/>
          <w:i w:val="0"/>
          <w:sz w:val="22"/>
        </w:rPr>
        <w:t>1. Агрегаторы сравнения телеком/интернет/ТВ — доказанный lead-gen бизнес в РФ и на Западе; монетизация через комиссии провайдеров, не подписку юзера; ниша в СНГ активна, но не насыщена.</w:t>
      </w:r>
    </w:p>
    <w:p>
      <w:pPr>
        <w:spacing w:after="80" w:before="0"/>
      </w:pPr>
      <w:r>
        <w:rPr>
          <w:b w:val="0"/>
          <w:i/>
          <w:color w:val="606060"/>
          <w:sz w:val="18"/>
        </w:rPr>
        <w:t>confidence: high · голоса 3-0 (Tarifnik), 3-0 (broadbandchoices)</w:t>
      </w:r>
    </w:p>
    <w:p>
      <w:pPr>
        <w:spacing w:after="80" w:before="0"/>
      </w:pPr>
      <w:r>
        <w:rPr>
          <w:b w:val="0"/>
          <w:i w:val="0"/>
          <w:sz w:val="20"/>
        </w:rPr>
        <w:t>Tarifnik.ru — бесплатный для пользователя агрегатор домашнего интернета, ТВ и мобильной связи в РФ, прямо заявляет выручку от «партнёрских договоров с провайдерами услуг связи» как «официальный партнёр более чем 100 провайдеров», с колл-центром и обратным звонком (оператор: ИП Горбушин А.А.); на 2GIS независимо помечен как «агрегатор интернет-провайдеров». broadbandchoices.co.uk — идентичная модель в UK (broadband, телефон, ТВ, мобайл), выручка «advertising fees and commissions from a number of the providers», аффилиат «до £30 за продажу». Есть рабочий РФ-образец, но поле не переполнено — самый доступный валидированный коридор для малой команды СНГ.</w:t>
      </w:r>
    </w:p>
    <w:p>
      <w:pPr>
        <w:spacing w:after="80" w:before="0"/>
      </w:pPr>
      <w:r>
        <w:rPr>
          <w:b/>
          <w:i w:val="0"/>
          <w:sz w:val="18"/>
        </w:rPr>
        <w:t xml:space="preserve">Источники: </w:t>
      </w:r>
      <w:r>
        <w:rPr>
          <w:b w:val="0"/>
          <w:i w:val="0"/>
          <w:color w:val="606060"/>
          <w:sz w:val="18"/>
        </w:rPr>
        <w:t>tarifnik.ru · startupintros.com/orgs/broadbandchoices-co-uk · broadbandchoices.co.uk/about-us · broadbandchoices.co.uk/solutions-for-affiliates</w:t>
      </w:r>
    </w:p>
    <w:p>
      <w:pPr>
        <w:spacing w:after="40" w:before="160"/>
      </w:pPr>
      <w:r>
        <w:rPr>
          <w:b/>
          <w:i w:val="0"/>
          <w:color w:val="2E7D32"/>
          <w:sz w:val="22"/>
        </w:rPr>
        <w:t xml:space="preserve">✓ </w:t>
      </w:r>
      <w:r>
        <w:rPr>
          <w:b/>
          <w:i w:val="0"/>
          <w:sz w:val="22"/>
        </w:rPr>
        <w:t>2. Модель сравнения/lead-gen масштабируется до большой выручки и высокой маржи в зрелости, но комиссии за лид скромные, а объёмы переключений волатильны/цикличны.</w:t>
      </w:r>
    </w:p>
    <w:p>
      <w:pPr>
        <w:spacing w:after="80" w:before="0"/>
      </w:pPr>
      <w:r>
        <w:rPr>
          <w:b w:val="0"/>
          <w:i/>
          <w:color w:val="606060"/>
          <w:sz w:val="18"/>
        </w:rPr>
        <w:t>confidence: high · голоса 2-1 (выручка MSM), 3-0 (модель MSM), 2-1 (£30/£60), 3-0 (£29/£30 за переключение), 3-0 (банкротства)</w:t>
      </w:r>
    </w:p>
    <w:p>
      <w:pPr>
        <w:spacing w:after="80" w:before="0"/>
      </w:pPr>
      <w:r>
        <w:rPr>
          <w:b w:val="0"/>
          <w:i w:val="0"/>
          <w:sz w:val="20"/>
        </w:rPr>
        <w:t>MoneySuperMarket (MONY Group plc) за FY2025: выручка £446.3 млн, операционная прибыль £117.4 млн, чистая прибыль ~£80.7 млн (~18% маржа) — подтверждено первичной RNS-отчётностью; это потолок зрелого агрегатора. Ядро модели — комиссия/реферальные сборы с провайдеров за покупку клиента. Юнит-экономика лида скромная: энергетические PCW в UK зарабатывали ~£22–30 за переключение одного топлива (MoneySuperMarket ~£29, uSwitch ~£30), ~£44–60 за dual-fuel. Модель цикличная и хрупкая в энергетике: 25+ энергокомпаний UK обанкротились в 2021 на скачке оптовых цен (NAO: 29 поставщиков за год, ~4 млн домохозяйств, £2.7 млрд). Оговорка: £30/£60 — бенчмарк 2015 г., сейчас вероятно ниже.</w:t>
      </w:r>
    </w:p>
    <w:p>
      <w:pPr>
        <w:spacing w:after="80" w:before="0"/>
      </w:pPr>
      <w:r>
        <w:rPr>
          <w:b/>
          <w:i w:val="0"/>
          <w:sz w:val="18"/>
        </w:rPr>
        <w:t xml:space="preserve">Источники: </w:t>
      </w:r>
      <w:r>
        <w:rPr>
          <w:b w:val="0"/>
          <w:i w:val="0"/>
          <w:color w:val="606060"/>
          <w:sz w:val="18"/>
        </w:rPr>
        <w:t>en.wikipedia.org/wiki/MoneySuperMarket · financialadvice.co.uk/...price-comparison-websites-charge-30-per-switch · power.nridigital.com/...uk_broken_energy_market · nao.org.uk/reports/the-energy-supplier-market</w:t>
      </w:r>
    </w:p>
    <w:p>
      <w:pPr>
        <w:spacing w:after="40" w:before="160"/>
      </w:pPr>
      <w:r>
        <w:rPr>
          <w:b/>
          <w:i w:val="0"/>
          <w:color w:val="2E7D32"/>
          <w:sz w:val="22"/>
        </w:rPr>
        <w:t xml:space="preserve">✓ </w:t>
      </w:r>
      <w:r>
        <w:rPr>
          <w:b/>
          <w:i w:val="0"/>
          <w:sz w:val="22"/>
        </w:rPr>
        <w:t>3. uSwitch-подобная платформа сравнения и переключения энергии для физлиц структурно заблокирована в РФ: гос-регулируемые тарифы, гарантирующие поставщики, отсутствие механизма смены.</w:t>
      </w:r>
    </w:p>
    <w:p>
      <w:pPr>
        <w:spacing w:after="80" w:before="0"/>
      </w:pPr>
      <w:r>
        <w:rPr>
          <w:b w:val="0"/>
          <w:i/>
          <w:color w:val="606060"/>
          <w:sz w:val="18"/>
        </w:rPr>
        <w:t>confidence: high · голоса 2-1, 2-1</w:t>
      </w:r>
    </w:p>
    <w:p>
      <w:pPr>
        <w:spacing w:after="80" w:before="0"/>
      </w:pPr>
      <w:r>
        <w:rPr>
          <w:b w:val="0"/>
          <w:i w:val="0"/>
          <w:sz w:val="20"/>
        </w:rPr>
        <w:t>Фед. закон РФ: «Гарантирующие поставщики будут осуществлять поставку электроэнергии на основе регулируемых тарифов», розничная цена = опт + передача/распределение + регулируемая сбытовая надбавка — гос-композит, не конкурентная цена. Домохозяйства обслуживаются строго по регулируемым тарифам региональных властей, бытовой рынок «всё ещё не открыт» (рецензируемый ScienceDirect), есть «отсутствие механизма смены гарантирующего поставщика». Это убирает ценовую конкуренцию и переключения, на которых держатся западные энергетические PCW. Лазейка: небытовые/B2B потребители платят свободную цену и МОГУТ менять энергосбыт с ~2011 г. → ниша B2B-сравнения закупки энергии существует. Направление 2 — самое слабое потребительское направление в РФ.</w:t>
      </w:r>
    </w:p>
    <w:p>
      <w:pPr>
        <w:spacing w:after="80" w:before="0"/>
      </w:pPr>
      <w:r>
        <w:rPr>
          <w:b/>
          <w:i w:val="0"/>
          <w:sz w:val="18"/>
        </w:rPr>
        <w:t xml:space="preserve">Источники: </w:t>
      </w:r>
      <w:r>
        <w:rPr>
          <w:b w:val="0"/>
          <w:i w:val="0"/>
          <w:color w:val="606060"/>
          <w:sz w:val="18"/>
        </w:rPr>
        <w:t>consultant.ru/document/cons_doc_LAW_32472 · np-sr.ru · mosenergosbyt.ru</w:t>
      </w:r>
    </w:p>
    <w:p>
      <w:pPr>
        <w:spacing w:after="40" w:before="160"/>
      </w:pPr>
      <w:r>
        <w:rPr>
          <w:b/>
          <w:i w:val="0"/>
          <w:color w:val="2E7D32"/>
          <w:sz w:val="22"/>
        </w:rPr>
        <w:t xml:space="preserve">✓ </w:t>
      </w:r>
      <w:r>
        <w:rPr>
          <w:b/>
          <w:i w:val="0"/>
          <w:sz w:val="22"/>
        </w:rPr>
        <w:t>4. Направление SaaS-биллинг / usage-based — реальное и растущее (рынок решительно уходит от flat-rate к гибриду подписка+потребление), но это тесный и сильно капитализированный глобальный ландшафт.</w:t>
      </w:r>
    </w:p>
    <w:p>
      <w:pPr>
        <w:spacing w:after="80" w:before="0"/>
      </w:pPr>
      <w:r>
        <w:rPr>
          <w:b w:val="0"/>
          <w:i/>
          <w:color w:val="606060"/>
          <w:sz w:val="18"/>
        </w:rPr>
        <w:t>confidence: high · голоса 3-0 (сдвиг к гибриду), 3-0 (тесный ландшафт), 3-0 (покупка Metronome)</w:t>
      </w:r>
    </w:p>
    <w:p>
      <w:pPr>
        <w:spacing w:after="80" w:before="0"/>
      </w:pPr>
      <w:r>
        <w:rPr>
          <w:b w:val="0"/>
          <w:i w:val="0"/>
          <w:sz w:val="20"/>
        </w:rPr>
        <w:t>Сдвиг ценообразования — консенсус индустрии: OpenView — 61% SaaS-компаний на гибридном pricing (было 49% в 2024), usage-based ~27% (2021) → ~38% (2026), доминирующий паттерн «базовая подписка + overage по потреблению»; подтверждают Maxio, Flexera, Chargebee. Поле (направления 3 и 4) тесное: Stripe Billing (~32–34% доли payment-management, оценка ~$70–91 млрд), Zuora (куплена за $1.7 млрд, окт-2024), Chargebee ($479.9 млн привлечено, 6500+ клиентов), плюс Orb, Amberflo, M3ter и Metronome — которую Stripe купил за $1 млрд в дек-2025 (2.1x к приватной оценке $470 млн). Спрос на инфраструктуру биллинга подтверждён, но сигнализирует о высокой конкуренции и капиталоёмкости для горизонтального «universal billing-as-a-service».</w:t>
      </w:r>
    </w:p>
    <w:p>
      <w:pPr>
        <w:spacing w:after="80" w:before="0"/>
      </w:pPr>
      <w:r>
        <w:rPr>
          <w:b/>
          <w:i w:val="0"/>
          <w:sz w:val="18"/>
        </w:rPr>
        <w:t xml:space="preserve">Источники: </w:t>
      </w:r>
      <w:r>
        <w:rPr>
          <w:b w:val="0"/>
          <w:i w:val="0"/>
          <w:color w:val="606060"/>
          <w:sz w:val="18"/>
        </w:rPr>
        <w:t>globenewswire.com/...Subscription-Billing-Management-Market-Report-2026 · research.contrary.com/company/metronome · sacra.com/c/metronome · stripe.com/newsroom/news/stripe-completes-metronome-acquisition</w:t>
      </w:r>
    </w:p>
    <w:p>
      <w:pPr>
        <w:pStyle w:val="Heading1"/>
      </w:pPr>
      <w:r>
        <w:rPr>
          <w:color w:val="1F4E79"/>
        </w:rPr>
        <w:t>5. Убитые проверкой утверждения (13)</w:t>
      </w:r>
    </w:p>
    <w:p>
      <w:pPr>
        <w:spacing w:after="120" w:before="0"/>
      </w:pPr>
      <w:r>
        <w:rPr>
          <w:b w:val="0"/>
          <w:i w:val="0"/>
          <w:sz w:val="22"/>
        </w:rPr>
        <w:t>Эти заявления не прошли адверсариальную проверку (голоса = за-опровержение). Именно поэтому в рекомендациях нет конкретных TAM-цифр — почти все «рынок $N млрд» взяты из пресс-релизов и блогов и проверку не прошли.</w:t>
      </w:r>
    </w:p>
    <w:p>
      <w:pPr>
        <w:pStyle w:val="ListBullet"/>
        <w:spacing w:after="40"/>
      </w:pPr>
      <w:r>
        <w:rPr>
          <w:sz w:val="20"/>
        </w:rPr>
        <w:t xml:space="preserve">broadbandchoices ~$10 млн годовой выручки в 2024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«Сложный биллинг — топ-барьер подписок, 26% SMB» (как обоснование рынка BaaS)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Обвал переключений в UK в дек-2021 до ⅓ от 2020  </w:t>
      </w:r>
      <w:r>
        <w:rPr>
          <w:b/>
          <w:color w:val="C0392B"/>
          <w:sz w:val="20"/>
        </w:rPr>
        <w:t>[1-2]</w:t>
      </w:r>
    </w:p>
    <w:p>
      <w:pPr>
        <w:pStyle w:val="ListBullet"/>
        <w:spacing w:after="40"/>
      </w:pPr>
      <w:r>
        <w:rPr>
          <w:sz w:val="20"/>
        </w:rPr>
        <w:t xml:space="preserve">ЖКХ-тарифы в РФ задаются на муниципальном уровне, нет единого нац. источника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«Нет универсального ЖКХ-калькулятора, данные не агрегированы»  </w:t>
      </w:r>
      <w:r>
        <w:rPr>
          <w:b/>
          <w:color w:val="C0392B"/>
          <w:sz w:val="20"/>
        </w:rPr>
        <w:t>[1-2]</w:t>
      </w:r>
    </w:p>
    <w:p>
      <w:pPr>
        <w:pStyle w:val="ListBullet"/>
        <w:spacing w:after="40"/>
      </w:pPr>
      <w:r>
        <w:rPr>
          <w:sz w:val="20"/>
        </w:rPr>
        <w:t xml:space="preserve">Usage-based pricing у 85% крупных софт-компаний (с 50% в 2021)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Рынок subscription billing $8.47 млрд (2025) → $37.36 млрд (2035), CAGR 16%  </w:t>
      </w:r>
      <w:r>
        <w:rPr>
          <w:b/>
          <w:color w:val="C0392B"/>
          <w:sz w:val="20"/>
        </w:rPr>
        <w:t>[1-2]</w:t>
      </w:r>
    </w:p>
    <w:p>
      <w:pPr>
        <w:pStyle w:val="ListBullet"/>
        <w:spacing w:after="40"/>
      </w:pPr>
      <w:r>
        <w:rPr>
          <w:sz w:val="20"/>
        </w:rPr>
        <w:t xml:space="preserve">Рынок billing/invoicing софта $4.3 млрд (2024) → $13.1 млрд (2031), 15.2%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Usage-based рос с 27% (2018) до 61% (2022)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Convergent billing $20.98 млрд (2026) → $33.24 млрд (2031), 9.66%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5 вендоров (Amdocs/Oracle/Ericsson/Huawei/CSG) держат ~58% convergent billing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Recurly берёт 0.9% со всей выручки + месячная плата  </w:t>
      </w:r>
      <w:r>
        <w:rPr>
          <w:b/>
          <w:color w:val="C0392B"/>
          <w:sz w:val="20"/>
        </w:rPr>
        <w:t>[0-3]</w:t>
      </w:r>
    </w:p>
    <w:p>
      <w:pPr>
        <w:pStyle w:val="ListBullet"/>
        <w:spacing w:after="40"/>
      </w:pPr>
      <w:r>
        <w:rPr>
          <w:sz w:val="20"/>
        </w:rPr>
        <w:t xml:space="preserve">Chargebee: месячная плата + % с выручки сверх лимита, free-план Launch  </w:t>
      </w:r>
      <w:r>
        <w:rPr>
          <w:b/>
          <w:color w:val="C0392B"/>
          <w:sz w:val="20"/>
        </w:rPr>
        <w:t>[0-3]</w:t>
      </w:r>
    </w:p>
    <w:p>
      <w:pPr>
        <w:pStyle w:val="Heading1"/>
      </w:pPr>
      <w:r>
        <w:rPr>
          <w:color w:val="1F4E79"/>
        </w:rPr>
        <w:t>6. Открытые вопросы (доисследовать перед стартом)</w:t>
      </w:r>
    </w:p>
    <w:p>
      <w:pPr>
        <w:pStyle w:val="ListNumber"/>
        <w:spacing w:after="60"/>
      </w:pPr>
      <w:r>
        <w:rPr>
          <w:sz w:val="20"/>
        </w:rPr>
        <w:t>Реальная юнит-экономика РФ/СНГ-агрегатора (CAC, комиссия за лид, конверсии) — сколько РФ-провайдер платит за подключённого абонента (вся проверенная комиссия — британская).</w:t>
      </w:r>
    </w:p>
    <w:p>
      <w:pPr>
        <w:pStyle w:val="ListNumber"/>
        <w:spacing w:after="60"/>
      </w:pPr>
      <w:r>
        <w:rPr>
          <w:sz w:val="20"/>
        </w:rPr>
        <w:t>Насколько велик и доступен частично-либерализованный сегмент B2B-закупки энергии в РФ (единственный открытый коридор энергетики).</w:t>
      </w:r>
    </w:p>
    <w:p>
      <w:pPr>
        <w:pStyle w:val="ListNumber"/>
        <w:spacing w:after="60"/>
      </w:pPr>
      <w:r>
        <w:rPr>
          <w:sz w:val="20"/>
        </w:rPr>
        <w:t>Защитимая bottom-up оценка размера рынка для (а) СНГ-ниши сравнения телеком/интернета и (б) вертикального конструктора тарифов для МСБ СНГ — без пресс-релизных TAM.</w:t>
      </w:r>
    </w:p>
    <w:p>
      <w:pPr>
        <w:pStyle w:val="ListNumber"/>
        <w:spacing w:after="60"/>
      </w:pPr>
      <w:r>
        <w:rPr>
          <w:sz w:val="20"/>
        </w:rPr>
        <w:t>Есть ли незанятая ниша «универсального конструктора тарифов» именно под регулируемые/utility-тарифы (ЖКХ, телеком, транспорт) в СНГ — B2B-SaaS для настройки и расчёта сложных ступенчатых тарифов, а не лобовая конкуренция со Stripe/Zuora/Chargebee.</w:t>
      </w:r>
    </w:p>
    <w:p>
      <w:pPr>
        <w:pStyle w:val="Heading1"/>
      </w:pPr>
      <w:r>
        <w:rPr>
          <w:color w:val="1F4E79"/>
        </w:rPr>
        <w:t>7. Рекомендации и MVP</w:t>
      </w:r>
    </w:p>
    <w:p>
      <w:pPr>
        <w:spacing w:after="80" w:before="0"/>
      </w:pPr>
      <w:r>
        <w:rPr>
          <w:b/>
          <w:i w:val="0"/>
          <w:sz w:val="22"/>
        </w:rPr>
        <w:t>Куда двигаться одиночке / маленькой команде:</w:t>
      </w:r>
    </w:p>
    <w:p>
      <w:pPr>
        <w:spacing w:after="120" w:before="0"/>
      </w:pPr>
      <w:r>
        <w:rPr>
          <w:b w:val="0"/>
          <w:i w:val="0"/>
          <w:sz w:val="22"/>
        </w:rPr>
        <w:t>Стартовать с направления 1 — агрегатор сравнения связи/интернета/ТВ для СНГ. Модель доказана (Tarifnik), поле не насыщено, монетизация понятна (комиссия с провайдеров за подключение), капитал минимальный, регуляторных стен нет.</w:t>
      </w:r>
    </w:p>
    <w:p>
      <w:pPr>
        <w:spacing w:after="80" w:before="120"/>
      </w:pPr>
      <w:r>
        <w:rPr>
          <w:b/>
          <w:i w:val="0"/>
          <w:sz w:val="22"/>
        </w:rPr>
        <w:t>Менее очевидные, но перспективные ниши:</w:t>
      </w:r>
    </w:p>
    <w:p>
      <w:pPr>
        <w:pStyle w:val="ListBullet"/>
        <w:spacing w:after="60"/>
      </w:pPr>
      <w:r>
        <w:rPr>
          <w:sz w:val="22"/>
        </w:rPr>
        <w:t>Вертикальный конструктор тарифов для регулируемых отраслей (ЖКХ, телеком, транспорт, парковки) — B2B-SaaS, помогающий поставщикам настраивать и считать сложные ступенчатые/зонные тарифы. Не лобовая конкуренция со Stripe/Zuora.</w:t>
      </w:r>
    </w:p>
    <w:p>
      <w:pPr>
        <w:pStyle w:val="ListBullet"/>
        <w:spacing w:after="60"/>
      </w:pPr>
      <w:r>
        <w:rPr>
          <w:sz w:val="22"/>
        </w:rPr>
        <w:t>B2B-сравнение закупки энергии — единственная открытая энергетическая лазейка в РФ.</w:t>
      </w:r>
    </w:p>
    <w:p>
      <w:pPr>
        <w:pStyle w:val="ListBullet"/>
        <w:spacing w:after="60"/>
      </w:pPr>
      <w:r>
        <w:rPr>
          <w:sz w:val="22"/>
        </w:rPr>
        <w:t>Tariff-as-content / SEO-актив — публичный калькулятор/сравнение тарифов генерит органический трафик, монетизируемый лидами (так растут Tarifnik / MoneySuperMarket).</w:t>
      </w:r>
    </w:p>
    <w:p>
      <w:pPr>
        <w:spacing w:after="80" w:before="120"/>
      </w:pPr>
      <w:r>
        <w:rPr>
          <w:b/>
          <w:i w:val="0"/>
          <w:sz w:val="22"/>
        </w:rPr>
        <w:t>MVP, который имеет смысл собрать первым:</w:t>
      </w:r>
    </w:p>
    <w:p>
      <w:pPr>
        <w:spacing w:after="120" w:before="0"/>
      </w:pPr>
      <w:r>
        <w:rPr>
          <w:b w:val="0"/>
          <w:i w:val="0"/>
          <w:sz w:val="22"/>
        </w:rPr>
        <w:t>Агрегатор тарифов связи/интернета для одного города/региона:</w:t>
      </w:r>
    </w:p>
    <w:p>
      <w:pPr>
        <w:pStyle w:val="ListBullet"/>
        <w:spacing w:after="60"/>
      </w:pPr>
      <w:r>
        <w:rPr>
          <w:sz w:val="22"/>
        </w:rPr>
        <w:t>модель данных «тариф» (провайдер → план → опции → цены → правила) — общее ядро для всех направлений, не выбросим при пивоте;</w:t>
      </w:r>
    </w:p>
    <w:p>
      <w:pPr>
        <w:pStyle w:val="ListBullet"/>
        <w:spacing w:after="60"/>
      </w:pPr>
      <w:r>
        <w:rPr>
          <w:sz w:val="22"/>
        </w:rPr>
        <w:t>сравнение/фильтрация по адресу и параметрам;</w:t>
      </w:r>
    </w:p>
    <w:p>
      <w:pPr>
        <w:pStyle w:val="ListBullet"/>
        <w:spacing w:after="60"/>
      </w:pPr>
      <w:r>
        <w:rPr>
          <w:sz w:val="22"/>
        </w:rPr>
        <w:t>захват лида (форма «перезвоните мне») → передача провайдеру;</w:t>
      </w:r>
    </w:p>
    <w:p>
      <w:pPr>
        <w:pStyle w:val="ListBullet"/>
        <w:spacing w:after="60"/>
      </w:pPr>
      <w:r>
        <w:rPr>
          <w:sz w:val="22"/>
        </w:rPr>
        <w:t>старт с ручного парсинга 5–10 провайдеров, без интеграций.</w:t>
      </w:r>
    </w:p>
    <w:p>
      <w:pPr>
        <w:spacing w:after="120" w:before="40"/>
      </w:pPr>
      <w:r>
        <w:rPr>
          <w:b w:val="0"/>
          <w:i w:val="0"/>
          <w:sz w:val="22"/>
        </w:rPr>
        <w:t>Это проверяет и спрос пользователей, и готовность провайдеров платить комиссию — за пару недель на Next.js + PostgreSQL.</w:t>
      </w:r>
    </w:p>
    <w:p>
      <w:pPr>
        <w:pStyle w:val="Heading1"/>
      </w:pPr>
      <w:r>
        <w:rPr>
          <w:color w:val="1F4E79"/>
        </w:rPr>
        <w:t>8. Источники (23, с оценкой качества)</w:t>
      </w:r>
    </w:p>
    <w:p>
      <w:pPr>
        <w:spacing w:after="40" w:before="80"/>
      </w:pPr>
      <w:r>
        <w:rPr>
          <w:b/>
          <w:i w:val="0"/>
          <w:sz w:val="20"/>
        </w:rPr>
        <w:t>Связь/интернет</w:t>
      </w:r>
    </w:p>
    <w:p>
      <w:pPr>
        <w:pStyle w:val="ListBullet"/>
        <w:spacing w:after="20"/>
      </w:pPr>
      <w:r>
        <w:rPr>
          <w:sz w:val="18"/>
        </w:rPr>
        <w:t>tarifnik.ru (primary)</w:t>
      </w:r>
    </w:p>
    <w:p>
      <w:pPr>
        <w:pStyle w:val="ListBullet"/>
        <w:spacing w:after="20"/>
      </w:pPr>
      <w:r>
        <w:rPr>
          <w:sz w:val="18"/>
        </w:rPr>
        <w:t>financialadvice.co.uk (secondary)</w:t>
      </w:r>
    </w:p>
    <w:p>
      <w:pPr>
        <w:pStyle w:val="ListBullet"/>
        <w:spacing w:after="20"/>
      </w:pPr>
      <w:r>
        <w:rPr>
          <w:sz w:val="18"/>
        </w:rPr>
        <w:t>MoneySuperMarket/Wikipedia (secondary)</w:t>
      </w:r>
    </w:p>
    <w:p>
      <w:pPr>
        <w:pStyle w:val="ListBullet"/>
        <w:spacing w:after="20"/>
      </w:pPr>
      <w:r>
        <w:rPr>
          <w:sz w:val="18"/>
        </w:rPr>
        <w:t>startupintros (secondary)</w:t>
      </w:r>
    </w:p>
    <w:p>
      <w:pPr>
        <w:pStyle w:val="ListBullet"/>
        <w:spacing w:after="20"/>
      </w:pPr>
      <w:r>
        <w:rPr>
          <w:sz w:val="18"/>
        </w:rPr>
        <w:t>businessresearchinsights (unreliable)</w:t>
      </w:r>
    </w:p>
    <w:p>
      <w:pPr>
        <w:pStyle w:val="ListBullet"/>
        <w:spacing w:after="20"/>
      </w:pPr>
      <w:r>
        <w:rPr>
          <w:sz w:val="18"/>
        </w:rPr>
        <w:t>tadviser/Сравни.ру (unreliable)</w:t>
      </w:r>
    </w:p>
    <w:p>
      <w:pPr>
        <w:spacing w:after="40" w:before="80"/>
      </w:pPr>
      <w:r>
        <w:rPr>
          <w:b/>
          <w:i w:val="0"/>
          <w:sz w:val="20"/>
        </w:rPr>
        <w:t>Энергетика/ЖКХ</w:t>
      </w:r>
    </w:p>
    <w:p>
      <w:pPr>
        <w:pStyle w:val="ListBullet"/>
        <w:spacing w:after="20"/>
      </w:pPr>
      <w:r>
        <w:rPr>
          <w:sz w:val="18"/>
        </w:rPr>
        <w:t>consultant.ru/закон (primary)</w:t>
      </w:r>
    </w:p>
    <w:p>
      <w:pPr>
        <w:pStyle w:val="ListBullet"/>
        <w:spacing w:after="20"/>
      </w:pPr>
      <w:r>
        <w:rPr>
          <w:sz w:val="18"/>
        </w:rPr>
        <w:t>gogov.ru (secondary)</w:t>
      </w:r>
    </w:p>
    <w:p>
      <w:pPr>
        <w:pStyle w:val="ListBullet"/>
        <w:spacing w:after="20"/>
      </w:pPr>
      <w:r>
        <w:rPr>
          <w:sz w:val="18"/>
        </w:rPr>
        <w:t>thefintechtimes/uSwitch (secondary)</w:t>
      </w:r>
    </w:p>
    <w:p>
      <w:pPr>
        <w:pStyle w:val="ListBullet"/>
        <w:spacing w:after="20"/>
      </w:pPr>
      <w:r>
        <w:rPr>
          <w:sz w:val="18"/>
        </w:rPr>
        <w:t>nridigital (secondary)</w:t>
      </w:r>
    </w:p>
    <w:p>
      <w:pPr>
        <w:pStyle w:val="ListBullet"/>
        <w:spacing w:after="20"/>
      </w:pPr>
      <w:r>
        <w:rPr>
          <w:sz w:val="18"/>
        </w:rPr>
        <w:t>cornwall-insight (unreliable)</w:t>
      </w:r>
    </w:p>
    <w:p>
      <w:pPr>
        <w:pStyle w:val="ListBullet"/>
        <w:spacing w:after="20"/>
      </w:pPr>
      <w:r>
        <w:rPr>
          <w:sz w:val="18"/>
        </w:rPr>
        <w:t>dealroom/uswitch (unreliable)</w:t>
      </w:r>
    </w:p>
    <w:p>
      <w:pPr>
        <w:spacing w:after="40" w:before="80"/>
      </w:pPr>
      <w:r>
        <w:rPr>
          <w:b/>
          <w:i w:val="0"/>
          <w:sz w:val="20"/>
        </w:rPr>
        <w:t>SaaS-биллинг</w:t>
      </w:r>
    </w:p>
    <w:p>
      <w:pPr>
        <w:pStyle w:val="ListBullet"/>
        <w:spacing w:after="20"/>
      </w:pPr>
      <w:r>
        <w:rPr>
          <w:sz w:val="18"/>
        </w:rPr>
        <w:t>sacra/metronome (secondary)</w:t>
      </w:r>
    </w:p>
    <w:p>
      <w:pPr>
        <w:pStyle w:val="ListBullet"/>
        <w:spacing w:after="20"/>
      </w:pPr>
      <w:r>
        <w:rPr>
          <w:sz w:val="18"/>
        </w:rPr>
        <w:t>globenewswire (secondary)</w:t>
      </w:r>
    </w:p>
    <w:p>
      <w:pPr>
        <w:pStyle w:val="ListBullet"/>
        <w:spacing w:after="20"/>
      </w:pPr>
      <w:r>
        <w:rPr>
          <w:sz w:val="18"/>
        </w:rPr>
        <w:t>contrary/metronome (secondary)</w:t>
      </w:r>
    </w:p>
    <w:p>
      <w:pPr>
        <w:pStyle w:val="ListBullet"/>
        <w:spacing w:after="20"/>
      </w:pPr>
      <w:r>
        <w:rPr>
          <w:sz w:val="18"/>
        </w:rPr>
        <w:t>zeni.ai (blog)</w:t>
      </w:r>
    </w:p>
    <w:p>
      <w:pPr>
        <w:spacing w:after="40" w:before="80"/>
      </w:pPr>
      <w:r>
        <w:rPr>
          <w:b/>
          <w:i w:val="0"/>
          <w:sz w:val="20"/>
        </w:rPr>
        <w:t>Billing-as-a-service</w:t>
      </w:r>
    </w:p>
    <w:p>
      <w:pPr>
        <w:pStyle w:val="ListBullet"/>
        <w:spacing w:after="20"/>
      </w:pPr>
      <w:r>
        <w:rPr>
          <w:sz w:val="18"/>
        </w:rPr>
        <w:t>mordorintelligence (secondary)</w:t>
      </w:r>
    </w:p>
    <w:p>
      <w:pPr>
        <w:pStyle w:val="ListBullet"/>
        <w:spacing w:after="20"/>
      </w:pPr>
      <w:r>
        <w:rPr>
          <w:sz w:val="18"/>
        </w:rPr>
        <w:t>withorb/chargebee (blog)</w:t>
      </w:r>
    </w:p>
    <w:p>
      <w:pPr>
        <w:pStyle w:val="ListBullet"/>
        <w:spacing w:after="20"/>
      </w:pPr>
      <w:r>
        <w:rPr>
          <w:sz w:val="18"/>
        </w:rPr>
        <w:t>dodopayments (blog)</w:t>
      </w:r>
    </w:p>
    <w:p>
      <w:pPr>
        <w:pStyle w:val="ListBullet"/>
        <w:spacing w:after="20"/>
      </w:pPr>
      <w:r>
        <w:rPr>
          <w:sz w:val="18"/>
        </w:rPr>
        <w:t>grandviewresearch (unreliable)</w:t>
      </w:r>
    </w:p>
    <w:p>
      <w:pPr>
        <w:spacing w:after="40" w:before="80"/>
      </w:pPr>
      <w:r>
        <w:rPr>
          <w:b/>
          <w:i w:val="0"/>
          <w:sz w:val="20"/>
        </w:rPr>
        <w:t>Стратегия/ниши</w:t>
      </w:r>
    </w:p>
    <w:p>
      <w:pPr>
        <w:pStyle w:val="ListBullet"/>
        <w:spacing w:after="20"/>
      </w:pPr>
      <w:r>
        <w:rPr>
          <w:sz w:val="18"/>
        </w:rPr>
        <w:t>entrepreneurloop (blog)</w:t>
      </w:r>
    </w:p>
    <w:p>
      <w:pPr>
        <w:pStyle w:val="ListBullet"/>
        <w:spacing w:after="20"/>
      </w:pPr>
      <w:r>
        <w:rPr>
          <w:sz w:val="18"/>
        </w:rPr>
        <w:t>f3fundit (blog)</w:t>
      </w:r>
    </w:p>
    <w:p>
      <w:pPr>
        <w:pStyle w:val="ListBullet"/>
        <w:spacing w:after="20"/>
      </w:pPr>
      <w:r>
        <w:rPr>
          <w:sz w:val="18"/>
        </w:rPr>
        <w:t>vc.ru/свободные ниши (blog)</w:t>
      </w:r>
    </w:p>
    <w:p>
      <w:pPr>
        <w:pStyle w:val="Heading1"/>
      </w:pPr>
      <w:r>
        <w:rPr>
          <w:color w:val="1F4E79"/>
        </w:rPr>
        <w:t>9. Статистика прогона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Углов исследования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Источников загружено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Фактов извлечено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Фактов проверено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Подтверждено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Убито проверкой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После синтеза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Отброшено по бюджету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Агентов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Токенов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~1.44 млн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Время работы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 мин</w:t>
            </w:r>
          </w:p>
        </w:tc>
      </w:tr>
    </w:tbl>
    <w:p>
      <w:pPr>
        <w:pStyle w:val="Heading2"/>
      </w:pPr>
      <w:r>
        <w:rPr>
          <w:color w:val="1F4E79"/>
        </w:rPr>
        <w:t>Оговорки</w:t>
      </w:r>
    </w:p>
    <w:p>
      <w:pPr>
        <w:spacing w:after="120" w:before="0"/>
      </w:pPr>
      <w:r>
        <w:rPr>
          <w:b w:val="0"/>
          <w:i/>
          <w:color w:val="606060"/>
          <w:sz w:val="20"/>
        </w:rPr>
        <w:t>Юнит-экономика — на данных UK, для СНГ напрямую не проверена (главное неизвестное — ставка CPA российских провайдеров). Цифры TAM из пресс-релизов отсеяны как недостоверные. Энергокомиссии £22–30 — бенчмарк 2015 г.; объёмы переключений в UK рухнули после 2021. Оценка Stripe ($70 млрд) устарела (позже ~$91.5 млрд), но вывода о тесноте рынка не меняет.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