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Тарифы — Фаза 2</w:t>
      </w:r>
    </w:p>
    <w:p>
      <w:pPr>
        <w:spacing w:after="240" w:before="0"/>
      </w:pPr>
      <w:r>
        <w:rPr>
          <w:b w:val="0"/>
          <w:i/>
          <w:color w:val="606060"/>
          <w:sz w:val="28"/>
        </w:rPr>
        <w:t>Проверка юнит-экономики РФ-агрегатора сравнения тарифов связи/интернета</w:t>
      </w:r>
    </w:p>
    <w:p>
      <w:pPr>
        <w:spacing w:after="120" w:before="0"/>
      </w:pPr>
      <w:r>
        <w:rPr>
          <w:b/>
          <w:i w:val="0"/>
          <w:color w:val="606060"/>
          <w:sz w:val="20"/>
        </w:rPr>
        <w:t xml:space="preserve">Дата: </w:t>
      </w:r>
      <w:r>
        <w:rPr>
          <w:b w:val="0"/>
          <w:i w:val="0"/>
          <w:color w:val="606060"/>
          <w:sz w:val="20"/>
        </w:rPr>
        <w:t>17 июня 2026 г.</w:t>
      </w:r>
      <w:r>
        <w:rPr>
          <w:b/>
          <w:i w:val="0"/>
          <w:color w:val="606060"/>
          <w:sz w:val="20"/>
        </w:rPr>
        <w:t xml:space="preserve">    •    Проект: </w:t>
      </w:r>
      <w:r>
        <w:rPr>
          <w:b w:val="0"/>
          <w:i w:val="0"/>
          <w:color w:val="606060"/>
          <w:sz w:val="20"/>
        </w:rPr>
        <w:t>платформа «тарифы» (Next.js + PostgreSQL)</w:t>
      </w:r>
    </w:p>
    <w:p>
      <w:pPr>
        <w:spacing w:after="240" w:before="0"/>
      </w:pPr>
      <w:r>
        <w:rPr>
          <w:b/>
          <w:i w:val="0"/>
          <w:color w:val="606060"/>
          <w:sz w:val="20"/>
        </w:rPr>
        <w:t xml:space="preserve">Метод: </w:t>
      </w:r>
      <w:r>
        <w:rPr>
          <w:b w:val="0"/>
          <w:i w:val="0"/>
          <w:color w:val="606060"/>
          <w:sz w:val="20"/>
        </w:rPr>
        <w:t>три последовательных исследовательских агента (CPA-сети → прямые партнёрки провайдеров → экономика лида у агрегаторов), ~50 веб-источников с перекрёстной проверкой. Достоверность помечена A/B/C: A — официальная карточка CPA-сети или страница провайдера; B — витрина-агрегатор / пресс-релиз / блог-кейс; C — маркетинговое «до X» или закрытый/недатированный источник.</w:t>
      </w:r>
    </w:p>
    <w:p>
      <w:pPr>
        <w:pStyle w:val="Heading1"/>
      </w:pPr>
      <w:r>
        <w:rPr>
          <w:color w:val="1F4E79"/>
        </w:rPr>
        <w:t>Главный вывод</w:t>
      </w:r>
    </w:p>
    <w:p>
      <w:pPr>
        <w:spacing w:after="120" w:before="0"/>
      </w:pPr>
      <w:r>
        <w:rPr>
          <w:b/>
          <w:i w:val="0"/>
          <w:color w:val="2E7D32"/>
          <w:sz w:val="22"/>
        </w:rPr>
        <w:t xml:space="preserve">✓ Экономика подтверждается. </w:t>
      </w:r>
      <w:r>
        <w:rPr>
          <w:b w:val="0"/>
          <w:i w:val="0"/>
          <w:sz w:val="22"/>
        </w:rPr>
        <w:t xml:space="preserve">Выплата за подтверждённое подключение домашнего интернета — </w:t>
      </w:r>
      <w:r>
        <w:rPr>
          <w:b/>
          <w:i w:val="0"/>
          <w:sz w:val="22"/>
        </w:rPr>
        <w:t>~1300–2750 ₽ за абонента</w:t>
      </w:r>
      <w:r>
        <w:rPr>
          <w:b w:val="0"/>
          <w:i w:val="0"/>
          <w:sz w:val="22"/>
        </w:rPr>
        <w:t>. Платят за реальное подключение/платёж, а не за заявку. Главный неизвестный параметр из Фазы 1 закрыт: ставка для РФ есть, и она здоровая.</w:t>
      </w:r>
    </w:p>
    <w:p>
      <w:pPr>
        <w:spacing w:after="80" w:before="0"/>
      </w:pPr>
      <w:r>
        <w:rPr>
          <w:b w:val="0"/>
          <w:i w:val="0"/>
          <w:sz w:val="22"/>
        </w:rPr>
        <w:t>Но проверка вскрыла, что настоящий барьер — не код, а две операционные вещи: актуальная база покрытия по адресам и колл-центр. Они определяют аппрув, а значит и всю юнит-экономику.</w:t>
      </w:r>
    </w:p>
    <w:p>
      <w:pPr>
        <w:pStyle w:val="Heading1"/>
      </w:pPr>
      <w:r>
        <w:rPr>
          <w:color w:val="1F4E79"/>
        </w:rPr>
        <w:t>1. Сколько платят CPA-сети (за подключение / активацию)</w:t>
      </w:r>
    </w:p>
    <w:p>
      <w:pPr>
        <w:spacing w:after="120" w:before="0"/>
      </w:pPr>
      <w:r>
        <w:rPr>
          <w:b w:val="0"/>
          <w:i w:val="0"/>
          <w:sz w:val="20"/>
        </w:rPr>
        <w:t>Самые надёжные датированные цифры — с открытых карточек офферов платформы Pampadu (категория A). Классические сети (Admitad, Cityads, Leads.su, Actionpay) ставки по телекому скрывают до регистрации в ЛК.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Выплата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Условия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Дост.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Дом. интернет — Ростелеком (оформление)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2 752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холд 31 д; единств. источник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Дом. интернет — Дом.ру (за заявку)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1 269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кейс 2019 г., за заявку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B/устар.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 — Т-Мобайл (по этапам)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553 + 510 + 1238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 71,7%; CR 1,16%; EPL 759 ₽; холд 30 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SIM/eSIM — СберМобайл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351 ₽ + RevShare 42,5%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оформление + пополнение от 150 ₽; холд 31 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 — Билайн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291 ₽ (фикс)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ТВ-приставки 9,7%; холд 30 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 — Tele2 (t2)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280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витрина-агрегатор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Онлайн-ТВ — Смотрёшка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11,3% + триал 50,66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 7,48%; холд 30 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</w:tbl>
    <w:p>
      <w:pPr>
        <w:spacing w:after="120" w:before="80"/>
      </w:pPr>
      <w:r>
        <w:rPr>
          <w:b w:val="0"/>
          <w:i w:val="0"/>
          <w:sz w:val="20"/>
        </w:rPr>
        <w:t>Условия по нише: холд ~30–31 день; засчитывается реальное действие (оформление/оплата/списание 2-го месяца), не голая заявка; реальный аппрув по телекому ~70% (Т-Мобайл), но у части офферов сильно ниже (Смотрёшка 7,5%).</w:t>
      </w:r>
    </w:p>
    <w:p>
      <w:pPr>
        <w:spacing w:after="80" w:before="0"/>
      </w:pPr>
      <w:r>
        <w:rPr>
          <w:b/>
          <w:i w:val="0"/>
          <w:color w:val="C0392B"/>
          <w:sz w:val="20"/>
        </w:rPr>
        <w:t xml:space="preserve">Не подтверждено: </w:t>
      </w:r>
      <w:r>
        <w:rPr>
          <w:b w:val="0"/>
          <w:i w:val="0"/>
          <w:sz w:val="20"/>
        </w:rPr>
        <w:t>публичных CPA-ставок в ₽ у МТС и МегаФон как операторов нет; спутниковое/кабельное ТВ (Триколор, НТВ+) идёт через дилеров, не CPA; рейткарды классических сетей по телекому скрыты до ЛК.</w:t>
      </w:r>
    </w:p>
    <w:p>
      <w:pPr>
        <w:pStyle w:val="Heading1"/>
      </w:pPr>
      <w:r>
        <w:rPr>
          <w:color w:val="1F4E79"/>
        </w:rPr>
        <w:t>2. Прямые партнёрки провайдеров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Что платит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Модель / условия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Дост.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Ростелеком B2C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 / 1500 / 2000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 за 1/2/3 услуги; деньги на карту (Consenta), без НДФЛ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Ростелеком B2B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 / 10% от счёта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share по B2B-услугам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МТС Агенты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7–12% от счёта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share, 12–24 мес.; физлица/ИП/юрлица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МегаФон B2B-реферал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 / 20% от чека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бессрочно; только ИП/юрлицо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Уфанет (регион.)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1000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 подключённого; любые статусы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Билайн B2C «приведи друга»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₽ на счёт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бонус абоненту, не агрегатору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Билайн B2B «приведи друга»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 ₽ на баланс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самозанятые; запуск 22.10.2025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T2 «бонус за друга»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2000 ₽ на счёт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бонус абоненту; запуск апр.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A/B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Дом.ру / МГТС / ТТК / 2КОМ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нашёл / непублично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привлечение через закрытых дилеров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spacing w:after="40" w:before="80"/>
      </w:pPr>
      <w:r>
        <w:rPr>
          <w:b/>
          <w:i w:val="0"/>
          <w:sz w:val="22"/>
        </w:rPr>
        <w:t>Выводы:</w:t>
      </w:r>
    </w:p>
    <w:p>
      <w:pPr>
        <w:pStyle w:val="ListBullet"/>
        <w:spacing w:after="60"/>
      </w:pPr>
      <w:r>
        <w:rPr>
          <w:sz w:val="20"/>
        </w:rPr>
        <w:t>Прямые публичные B2C-фиксы за домашний интернет ≤ ставкам CPA-сетей → на старте CPA-сеть выгоднее или сопоставима, и без прямого договора.</w:t>
      </w:r>
    </w:p>
    <w:p>
      <w:pPr>
        <w:pStyle w:val="ListBullet"/>
        <w:spacing w:after="60"/>
      </w:pPr>
      <w:r>
        <w:rPr>
          <w:sz w:val="20"/>
        </w:rPr>
        <w:t>B2C «приведи друга» — это бонусы на счёт абонента, а не деньги агрегатору-юрлицу → для нашей модели бесполезны.</w:t>
      </w:r>
    </w:p>
    <w:p>
      <w:pPr>
        <w:pStyle w:val="ListBullet"/>
        <w:spacing w:after="60"/>
      </w:pPr>
      <w:r>
        <w:rPr>
          <w:sz w:val="20"/>
        </w:rPr>
        <w:t>B2B revenue-share (10–20% от счёта, 12–24 мес. или бессрочно) — потенциальный «второй этаж» с высоким LTV, но это корпоративные услуги, не массовый домашний интернет.</w:t>
      </w:r>
    </w:p>
    <w:p>
      <w:pPr>
        <w:pStyle w:val="ListBullet"/>
        <w:spacing w:after="60"/>
      </w:pPr>
      <w:r>
        <w:rPr>
          <w:sz w:val="20"/>
        </w:rPr>
        <w:t>Прямые агентские ставки федералов за домашний интернет физлицу непубличны (только B2B-договор / по запросу) — сам по себе сигнал рынка.</w:t>
      </w:r>
    </w:p>
    <w:p>
      <w:pPr>
        <w:pStyle w:val="Heading1"/>
      </w:pPr>
      <w:r>
        <w:rPr>
          <w:color w:val="1F4E79"/>
        </w:rPr>
        <w:t>3. Полная юнит-экономика (воронка)</w:t>
      </w:r>
    </w:p>
    <w:p>
      <w:pPr>
        <w:spacing w:after="120" w:before="0"/>
      </w:pPr>
      <w:r>
        <w:rPr>
          <w:b w:val="0"/>
          <w:i w:val="0"/>
          <w:sz w:val="20"/>
        </w:rPr>
        <w:t>Точной сквозной воронки по нише в открытых источниках нет — реконструирована по смежным бенчмаркам (пометка «оценка»). Самый слабый по данным шаг — аппрув «заявка → подключение».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Логика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Визит → заявка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~4% (2–6%)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бенчмарк услуг 2–5%; «горячий» интент по адресу → выше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Заявка → подключение (аппрув)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 (25–40%)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белые лид-офферы с КЦ 35–45%, минус техотказы по адресу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На 1000 визитов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заявок → 12 подкл.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4% и 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 на 1000 визитов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~24 000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~2000 ₽ за 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EPC (доход с визита)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~10–50 ₽ (≈24)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края диапазона предположений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EPL (доход с заявки)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против стоимости заявки ~270–407 ₽ в платном трафике</w:t>
            </w:r>
          </w:p>
        </w:tc>
      </w:tr>
    </w:tbl>
    <w:p>
      <w:pPr>
        <w:spacing w:after="120" w:before="80"/>
      </w:pPr>
      <w:r>
        <w:rPr>
          <w:b/>
          <w:i w:val="0"/>
          <w:sz w:val="22"/>
        </w:rPr>
        <w:t xml:space="preserve">Ключевой вывод: </w:t>
      </w:r>
      <w:r>
        <w:rPr>
          <w:b w:val="0"/>
          <w:i w:val="0"/>
          <w:sz w:val="22"/>
        </w:rPr>
        <w:t xml:space="preserve">платный трафик едва окупается (заявка стоит ~270–407 ₽ при EPL ~600 ₽) → </w:t>
      </w:r>
      <w:r>
        <w:rPr>
          <w:b/>
          <w:i w:val="0"/>
          <w:sz w:val="22"/>
        </w:rPr>
        <w:t xml:space="preserve">бизнес — это SEO. </w:t>
      </w:r>
      <w:r>
        <w:rPr>
          <w:b w:val="0"/>
          <w:i w:val="0"/>
          <w:sz w:val="22"/>
        </w:rPr>
        <w:t>EPC 10–50 ₽ за визит означает, что всё решает объём дешёвого органического трафика.</w:t>
      </w:r>
    </w:p>
    <w:p>
      <w:pPr>
        <w:pStyle w:val="Heading1"/>
      </w:pPr>
      <w:r>
        <w:rPr>
          <w:color w:val="1F4E79"/>
        </w:rPr>
        <w:t>4. Доказательство: модель работает и прибыльна</w:t>
      </w:r>
    </w:p>
    <w:p>
      <w:pPr>
        <w:spacing w:after="120" w:before="0"/>
      </w:pPr>
      <w:r>
        <w:rPr>
          <w:b w:val="0"/>
          <w:i w:val="0"/>
          <w:sz w:val="20"/>
        </w:rPr>
        <w:t>Нашли реальные финансы конкурента — экосистема 101internet + moskvaonline (ООО «Интернет Промоушен», Рязань). Единственные публичные финансы в сегменте: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Прибыль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39,2 млн 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6,5 млн 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85,8 млн ₽ (+119%)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20,3 млн 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129 млн ₽ (+50%)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22,7 млн ₽</w:t>
            </w:r>
          </w:p>
        </w:tc>
      </w:tr>
    </w:tbl>
    <w:p>
      <w:pPr>
        <w:spacing w:after="40" w:before="120"/>
      </w:pPr>
      <w:r>
        <w:rPr>
          <w:b/>
          <w:i w:val="0"/>
          <w:sz w:val="20"/>
        </w:rPr>
        <w:t>Трафик ключевых игроков (Similarweb/Semrush, порядок величин):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Игрок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Визитов/мес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dominternet.ru (лидер)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~365–716K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ООО «Интернет-Тариф»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101internet.ru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~508K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ООО «Интернет Промоушен»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moskvaonline.ru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~241K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то же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tarifnik.ru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~62–79K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ИП Горбушин; 826K подкл., 89 регионов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provayder.net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~53K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Красноярск + ~30 городов Сибири</w:t>
            </w:r>
          </w:p>
        </w:tc>
      </w:tr>
    </w:tbl>
    <w:p>
      <w:pPr>
        <w:spacing w:after="120" w:before="80"/>
      </w:pPr>
      <w:r>
        <w:rPr>
          <w:b w:val="0"/>
          <w:i w:val="0"/>
          <w:sz w:val="20"/>
        </w:rPr>
        <w:t>Органика ~47–69% (не ~90%, как иногда заявляют). Трафик добывается массовой генерацией геостраниц под низкочастотные запросы «провайдеры по адресу»; кейс — 10 000 геостраниц в топ за ~13 месяцев.</w:t>
      </w:r>
    </w:p>
    <w:p>
      <w:pPr>
        <w:pStyle w:val="Heading1"/>
      </w:pPr>
      <w:r>
        <w:rPr>
          <w:color w:val="1F4E79"/>
        </w:rPr>
        <w:t>5. Настоящий барьер — не код</w:t>
      </w:r>
    </w:p>
    <w:p>
      <w:pPr>
        <w:spacing w:after="40" w:before="0"/>
      </w:pPr>
      <w:r>
        <w:rPr>
          <w:b/>
          <w:i w:val="0"/>
          <w:sz w:val="22"/>
        </w:rPr>
        <w:t>Барьер №1 — данные покрытия по адресам</w:t>
      </w:r>
    </w:p>
    <w:p>
      <w:pPr>
        <w:pStyle w:val="ListBullet"/>
        <w:spacing w:after="60"/>
      </w:pPr>
      <w:r>
        <w:rPr>
          <w:sz w:val="20"/>
        </w:rPr>
        <w:t>Готового коммерческого API «какие провайдеры в этом доме» по РФ НЕ существует — каждый агрегатор строит матрицу «дом × оператор» сам.</w:t>
      </w:r>
    </w:p>
    <w:p>
      <w:pPr>
        <w:pStyle w:val="ListBullet"/>
        <w:spacing w:after="60"/>
      </w:pPr>
      <w:r>
        <w:rPr>
          <w:sz w:val="20"/>
        </w:rPr>
        <w:t>Источники: партнёрские фиды топ-5 федералов (≈70% базы ШПД) + ручной сбор по «длинному хвосту». Масштаб лидеров: 101internet ~7 млн адресов, dominternet ~6,5 млн домов.</w:t>
      </w:r>
    </w:p>
    <w:p>
      <w:pPr>
        <w:pStyle w:val="ListBullet"/>
        <w:spacing w:after="60"/>
      </w:pPr>
      <w:r>
        <w:rPr>
          <w:sz w:val="20"/>
        </w:rPr>
        <w:t>Адресный слой, наоборот, дёшев и решён: ФИАС/ГАР (бесплатно, ~49 млн объектов), DaData API (до 10k/день бесплатно; платно 14 000–56 000 ₽/год).</w:t>
      </w:r>
    </w:p>
    <w:p>
      <w:pPr>
        <w:pStyle w:val="ListBullet"/>
        <w:spacing w:after="60"/>
      </w:pPr>
      <w:r>
        <w:rPr>
          <w:sz w:val="20"/>
        </w:rPr>
        <w:t>Боль не «получить», а поддерживать актуальность: ~4220 операторов ШПД, состав быстро меняется; лицензионная реформа со 01.09.2026 может убрать до трети к 2028.</w:t>
      </w:r>
    </w:p>
    <w:p>
      <w:pPr>
        <w:spacing w:after="40" w:before="80"/>
      </w:pPr>
      <w:r>
        <w:rPr>
          <w:b/>
          <w:i w:val="0"/>
          <w:sz w:val="22"/>
        </w:rPr>
        <w:t>Барьер №2 — колл-центр (обязателен)</w:t>
      </w:r>
    </w:p>
    <w:p>
      <w:pPr>
        <w:pStyle w:val="ListBullet"/>
        <w:spacing w:after="60"/>
      </w:pPr>
      <w:r>
        <w:rPr>
          <w:sz w:val="20"/>
        </w:rPr>
        <w:t>Физическое подключение нельзя подтвердить без звонка (адрес, техвозможность, дата монтажа). Оплата только за подтверждённый прозвоном лид.</w:t>
      </w:r>
    </w:p>
    <w:p>
      <w:pPr>
        <w:pStyle w:val="ListBullet"/>
        <w:spacing w:after="60"/>
      </w:pPr>
      <w:r>
        <w:rPr>
          <w:sz w:val="20"/>
        </w:rPr>
        <w:t>Колл-центр напрямую определяет аппрув → значит, и всю юнит-экономику. Скорость первого контакта критична.</w:t>
      </w:r>
    </w:p>
    <w:p>
      <w:pPr>
        <w:pStyle w:val="ListBullet"/>
        <w:spacing w:after="60"/>
      </w:pPr>
      <w:r>
        <w:rPr>
          <w:sz w:val="20"/>
        </w:rPr>
        <w:t>Экономика: оператор ~150–200 звонков/смену; аутсорс от ~57 000 ₽/мес (1-я линия, 4000 мин). На старте колл-центр = сам основатель.</w:t>
      </w:r>
    </w:p>
    <w:p>
      <w:pPr>
        <w:pStyle w:val="Heading1"/>
      </w:pPr>
      <w:r>
        <w:rPr>
          <w:color w:val="1F4E79"/>
        </w:rPr>
        <w:t>6. Что это значит для MVP</w:t>
      </w:r>
    </w:p>
    <w:p>
      <w:pPr>
        <w:spacing w:after="80" w:before="0"/>
      </w:pPr>
      <w:r>
        <w:rPr>
          <w:b w:val="0"/>
          <w:i w:val="0"/>
          <w:sz w:val="22"/>
        </w:rPr>
        <w:t>Экономика зелёная, поэтому MVP должен проверять не «красивое сравнение», а два барьера:</w:t>
      </w:r>
    </w:p>
    <w:p>
      <w:pPr>
        <w:pStyle w:val="ListBullet"/>
        <w:spacing w:after="60"/>
      </w:pPr>
      <w:r>
        <w:rPr>
          <w:sz w:val="22"/>
        </w:rPr>
        <w:t>Матрица покрытия по адресам для одного города (партнёрские фиды топ-5 + ручная доводка) — это и есть ценность продукта.</w:t>
      </w:r>
    </w:p>
    <w:p>
      <w:pPr>
        <w:pStyle w:val="ListBullet"/>
        <w:spacing w:after="60"/>
      </w:pPr>
      <w:r>
        <w:rPr>
          <w:sz w:val="22"/>
        </w:rPr>
        <w:t>SEO-геостраницы с первого дня (структура URL под «провайдеры по адресу»).</w:t>
      </w:r>
    </w:p>
    <w:p>
      <w:pPr>
        <w:pStyle w:val="ListBullet"/>
        <w:spacing w:after="60"/>
      </w:pPr>
      <w:r>
        <w:rPr>
          <w:sz w:val="22"/>
        </w:rPr>
        <w:t>Захват заявки + ручной обзвон (колл-центр на старте — основатель).</w:t>
      </w:r>
    </w:p>
    <w:p>
      <w:pPr>
        <w:pStyle w:val="ListBullet"/>
        <w:spacing w:after="60"/>
      </w:pPr>
      <w:r>
        <w:rPr>
          <w:sz w:val="22"/>
        </w:rPr>
        <w:t>Регистрация в CPA-сети (Pampadu / Admitad) → выплаты без прямых договоров.</w:t>
      </w:r>
    </w:p>
    <w:p>
      <w:pPr>
        <w:pStyle w:val="ListBullet"/>
        <w:spacing w:after="60"/>
      </w:pPr>
      <w:r>
        <w:rPr>
          <w:sz w:val="22"/>
        </w:rPr>
        <w:t>Ядро данных «тариф» (провайдер → план → опции → цены → правила) переиспользуется при пивоте в B2B-конструктор тарифов.</w:t>
      </w:r>
    </w:p>
    <w:p>
      <w:pPr>
        <w:pStyle w:val="Heading1"/>
      </w:pPr>
      <w:r>
        <w:rPr>
          <w:color w:val="1F4E79"/>
        </w:rPr>
        <w:t>7. Что НЕ удалось подтвердить</w:t>
      </w:r>
    </w:p>
    <w:p>
      <w:pPr>
        <w:pStyle w:val="ListBullet"/>
        <w:spacing w:after="40"/>
      </w:pPr>
      <w:r>
        <w:rPr>
          <w:sz w:val="20"/>
        </w:rPr>
        <w:t>Сквозная воронка визит→заявка→подключение с обоими процентами по нише — не публикуется; оба числа = оценка.</w:t>
      </w:r>
    </w:p>
    <w:p>
      <w:pPr>
        <w:pStyle w:val="ListBullet"/>
        <w:spacing w:after="40"/>
      </w:pPr>
      <w:r>
        <w:rPr>
          <w:sz w:val="20"/>
        </w:rPr>
        <w:t>Аппрув именно для офферов подключения интернета — нет открытых цифр; взят по аналогии.</w:t>
      </w:r>
    </w:p>
    <w:p>
      <w:pPr>
        <w:pStyle w:val="ListBullet"/>
        <w:spacing w:after="40"/>
      </w:pPr>
      <w:r>
        <w:rPr>
          <w:sz w:val="20"/>
        </w:rPr>
        <w:t>Частотность Wordstat и помесячная сезонность подключений — за авторизацией, не получены.</w:t>
      </w:r>
    </w:p>
    <w:p>
      <w:pPr>
        <w:pStyle w:val="ListBullet"/>
        <w:spacing w:after="40"/>
      </w:pPr>
      <w:r>
        <w:rPr>
          <w:sz w:val="20"/>
        </w:rPr>
        <w:t>Ростелеком «от 2752 ₽» — single-source (Pampadu); цель = «оформление», не обязательно монтаж.</w:t>
      </w:r>
    </w:p>
    <w:p>
      <w:pPr>
        <w:pStyle w:val="ListBullet"/>
        <w:spacing w:after="40"/>
      </w:pPr>
      <w:r>
        <w:rPr>
          <w:sz w:val="20"/>
        </w:rPr>
        <w:t>Прямые официальные ставки федералов (Билайн-дилерство, Дом.ру, МГТС, ТТК-розница) — закрыты.</w:t>
      </w:r>
    </w:p>
    <w:p>
      <w:pPr>
        <w:pStyle w:val="ListBullet"/>
        <w:spacing w:after="40"/>
      </w:pPr>
      <w:r>
        <w:rPr>
          <w:sz w:val="20"/>
        </w:rPr>
        <w:t>Финансы dominternet (ООО «Интернет-Тариф»), tarifnik, provayder.net — недоступны (ИП/нет отчётности); подтверждена только выручка экосистемы 101internet/moskvaonline.</w:t>
      </w:r>
    </w:p>
    <w:p>
      <w:pPr>
        <w:pStyle w:val="Heading1"/>
      </w:pPr>
      <w:r>
        <w:rPr>
          <w:color w:val="1F4E79"/>
        </w:rPr>
        <w:t>Источники (ключевые)</w:t>
      </w:r>
    </w:p>
    <w:p>
      <w:pPr>
        <w:pStyle w:val="ListBullet"/>
        <w:spacing w:after="20"/>
      </w:pPr>
      <w:r>
        <w:rPr>
          <w:sz w:val="18"/>
        </w:rPr>
        <w:t>pampadu.ru — карточки офферов Ростелеком/Т-Мобайл/СберМобайл/Билайн/Смотрёшка (CPA-ставки, A)</w:t>
      </w:r>
    </w:p>
    <w:p>
      <w:pPr>
        <w:pStyle w:val="ListBullet"/>
        <w:spacing w:after="20"/>
      </w:pPr>
      <w:r>
        <w:rPr>
          <w:sz w:val="18"/>
        </w:rPr>
        <w:t>msk.rt.ru/b2c/partners_program и /b2b/partners_program_yur — партнёрки Ростелеком (A)</w:t>
      </w:r>
    </w:p>
    <w:p>
      <w:pPr>
        <w:pStyle w:val="ListBullet"/>
        <w:spacing w:after="20"/>
      </w:pPr>
      <w:r>
        <w:rPr>
          <w:sz w:val="18"/>
        </w:rPr>
        <w:t>agents.mts.ru/fizlicam — «МТС Агенты» revenue share 7–12% (A)</w:t>
      </w:r>
    </w:p>
    <w:p>
      <w:pPr>
        <w:pStyle w:val="ListBullet"/>
        <w:spacing w:after="20"/>
      </w:pPr>
      <w:r>
        <w:rPr>
          <w:sz w:val="18"/>
        </w:rPr>
        <w:t>moscow.megafon.ru/corporate/referal_program — B2B-реферал МегаФон 10–20% (A)</w:t>
      </w:r>
    </w:p>
    <w:p>
      <w:pPr>
        <w:pStyle w:val="ListBullet"/>
        <w:spacing w:after="20"/>
      </w:pPr>
      <w:r>
        <w:rPr>
          <w:sz w:val="18"/>
        </w:rPr>
        <w:t>ufanet.ru/ufa/partnership — Уфанет до 1000 ₽ (A)</w:t>
      </w:r>
    </w:p>
    <w:p>
      <w:pPr>
        <w:pStyle w:val="ListBullet"/>
        <w:spacing w:after="20"/>
      </w:pPr>
      <w:r>
        <w:rPr>
          <w:sz w:val="18"/>
        </w:rPr>
        <w:t>vedomosti.ru — пресс-релизы Билайн (22.10.2025) и T2 (09.04.2026) (B)</w:t>
      </w:r>
    </w:p>
    <w:p>
      <w:pPr>
        <w:pStyle w:val="ListBullet"/>
        <w:spacing w:after="20"/>
      </w:pPr>
      <w:r>
        <w:rPr>
          <w:sz w:val="18"/>
        </w:rPr>
        <w:t>direktorinterneta.com — кейс Яндекс.Директ агрегатора провайдеров: заявка ~407 ₽ (B)</w:t>
      </w:r>
    </w:p>
    <w:p>
      <w:pPr>
        <w:pStyle w:val="ListBullet"/>
        <w:spacing w:after="20"/>
      </w:pPr>
      <w:r>
        <w:rPr>
          <w:sz w:val="18"/>
        </w:rPr>
        <w:t>rusprofile / audit-it / spark — финансы ООО «Интернет Промоушен» (101internet/moskvaonline)</w:t>
      </w:r>
    </w:p>
    <w:p>
      <w:pPr>
        <w:pStyle w:val="ListBullet"/>
        <w:spacing w:after="20"/>
      </w:pPr>
      <w:r>
        <w:rPr>
          <w:sz w:val="18"/>
        </w:rPr>
        <w:t>Similarweb / Semrush — трафик dominternet / 101internet / tarifnik / provayder</w:t>
      </w:r>
    </w:p>
    <w:p>
      <w:pPr>
        <w:pStyle w:val="ListBullet"/>
        <w:spacing w:after="20"/>
      </w:pPr>
      <w:r>
        <w:rPr>
          <w:sz w:val="18"/>
        </w:rPr>
        <w:t>dadata.ru/wiki, habr — ФИАС/ГАР/DaData (адресный слой)</w:t>
      </w:r>
    </w:p>
    <w:p>
      <w:pPr>
        <w:pStyle w:val="ListBullet"/>
        <w:spacing w:after="20"/>
      </w:pPr>
      <w:r>
        <w:rPr>
          <w:sz w:val="18"/>
        </w:rPr>
        <w:t>telesputnik.ru — ~4220 операторов ШПД, лицензионная реформа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