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40971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МИНИСТЕРСТВО НАУКИ И ВЫСШЕГО ОБРАЗОВАНИЯ РОССИЙСКОЙ ФЕДЕРАЦИИ</w:t>
      </w:r>
    </w:p>
    <w:p w14:paraId="4DDAF4F0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ФЕДЕРАЛЬНОЕ ГОСУДАРСТВЕННОЕ БЮДЖЕТНОЕ ОБРАЗОВАТЕЛЬНОЕ УЧРЕЖДЕНИЕ</w:t>
      </w:r>
    </w:p>
    <w:p w14:paraId="63F38090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ВЫСШЕГО ОБРАЗОВАНИЯ </w:t>
      </w:r>
    </w:p>
    <w:p w14:paraId="0F980B4D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«НОВОСИБИРСКИЙ ГОСУДАРСТВЕННЫЙ ТЕХНИЧЕСКИЙ УНИВЕРСИТЕТ»</w:t>
      </w:r>
    </w:p>
    <w:p w14:paraId="56F64D88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__________________________________________________________________</w:t>
      </w:r>
    </w:p>
    <w:p w14:paraId="42093BF7" w14:textId="77777777" w:rsidR="00D57E28" w:rsidRPr="00D57E28" w:rsidRDefault="00D57E28" w:rsidP="00D57E28">
      <w:pPr>
        <w:spacing w:before="240" w:after="240" w:line="24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Кафедра Вычислительной техники</w:t>
      </w:r>
    </w:p>
    <w:p w14:paraId="774E393C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0EF6B015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28CDBDB8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РЕФЕРАТ</w:t>
      </w:r>
    </w:p>
    <w:p w14:paraId="77F3F623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по дисциплине: «Стандартизация систем на базе искусственного интеллекта»</w:t>
      </w:r>
    </w:p>
    <w:p w14:paraId="653682B1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highlight w:val="yellow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на тему 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«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Стандарты для образовательных ИИ-курсов</w:t>
      </w:r>
      <w:r w:rsidRPr="00D57E28">
        <w:rPr>
          <w:rFonts w:ascii="Times New Roman" w:eastAsia="SimSun" w:hAnsi="Times New Roman" w:cs="Times New Roman"/>
          <w:kern w:val="0"/>
          <w:sz w:val="28"/>
          <w:szCs w:val="28"/>
          <w:lang w:val="ru" w:eastAsia="zh-CN"/>
          <w14:ligatures w14:val="none"/>
        </w:rPr>
        <w:t>»</w:t>
      </w:r>
    </w:p>
    <w:p w14:paraId="7740A261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D57E28" w:rsidRPr="00D57E28" w14:paraId="6B32944A" w14:textId="77777777" w:rsidTr="008A1918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5A87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</w:p>
          <w:p w14:paraId="4077A71D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Выполнил:</w:t>
            </w:r>
          </w:p>
          <w:p w14:paraId="4952D49B" w14:textId="77777777" w:rsidR="00D57E28" w:rsidRPr="00D57E28" w:rsidRDefault="00D57E28" w:rsidP="00D57E28">
            <w:pPr>
              <w:spacing w:before="240" w:after="240" w:line="360" w:lineRule="auto"/>
              <w:rPr>
                <w:rFonts w:ascii="Times New Roman" w:eastAsia="SimSun" w:hAnsi="Times New Roman" w:cs="Times New Roman"/>
                <w:kern w:val="0"/>
                <w:highlight w:val="yellow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 xml:space="preserve">Студент гр. </w:t>
            </w:r>
            <w:r w:rsidRPr="00D57E28"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  <w:t>АПИМ-25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, АВТФ:</w:t>
            </w:r>
          </w:p>
          <w:p w14:paraId="09B32CAE" w14:textId="77777777" w:rsidR="00D57E28" w:rsidRPr="00D57E28" w:rsidRDefault="00D57E28" w:rsidP="00D57E28">
            <w:pPr>
              <w:spacing w:before="240" w:after="0" w:line="360" w:lineRule="auto"/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eastAsia="zh-CN"/>
                <w14:ligatures w14:val="none"/>
              </w:rPr>
              <w:t>Клименко К. В.</w:t>
            </w:r>
          </w:p>
          <w:p w14:paraId="39C5D80B" w14:textId="77777777" w:rsidR="00D57E28" w:rsidRPr="00D57E28" w:rsidRDefault="00D57E28" w:rsidP="00D57E28">
            <w:pPr>
              <w:spacing w:before="240" w:after="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 xml:space="preserve">          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E6C0" w14:textId="77777777" w:rsidR="00D57E28" w:rsidRPr="00D57E28" w:rsidRDefault="00D57E28" w:rsidP="00D57E28">
            <w:pPr>
              <w:spacing w:after="240" w:line="360" w:lineRule="auto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</w:p>
          <w:p w14:paraId="288A3BE7" w14:textId="77777777" w:rsidR="00D57E28" w:rsidRPr="00D57E28" w:rsidRDefault="00D57E28" w:rsidP="00D57E28">
            <w:pPr>
              <w:spacing w:after="240" w:line="360" w:lineRule="auto"/>
              <w:ind w:firstLine="1184"/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Преподаватель:</w:t>
            </w:r>
          </w:p>
          <w:p w14:paraId="5A28D2FA" w14:textId="77777777" w:rsidR="00D57E28" w:rsidRPr="00D57E28" w:rsidRDefault="00D57E28" w:rsidP="00D57E28">
            <w:pPr>
              <w:spacing w:before="240" w:after="0" w:line="360" w:lineRule="auto"/>
              <w:ind w:firstLine="1184"/>
              <w:rPr>
                <w:rFonts w:ascii="Times New Roman" w:eastAsia="SimSun" w:hAnsi="Times New Roman" w:cs="Times New Roman"/>
                <w:kern w:val="0"/>
                <w:highlight w:val="yellow"/>
                <w:lang w:eastAsia="zh-CN"/>
                <w14:ligatures w14:val="none"/>
              </w:rPr>
            </w:pP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Ильиных С.</w:t>
            </w:r>
            <w:r w:rsidRPr="00D57E28">
              <w:rPr>
                <w:rFonts w:ascii="Times New Roman" w:eastAsia="SimSun" w:hAnsi="Times New Roman" w:cs="Times New Roman"/>
                <w:kern w:val="0"/>
                <w:lang w:val="en-US" w:eastAsia="zh-CN"/>
                <w14:ligatures w14:val="none"/>
              </w:rPr>
              <w:t xml:space="preserve"> </w:t>
            </w:r>
            <w:r w:rsidRPr="00D57E28">
              <w:rPr>
                <w:rFonts w:ascii="Times New Roman" w:eastAsia="SimSun" w:hAnsi="Times New Roman" w:cs="Times New Roman"/>
                <w:kern w:val="0"/>
                <w:lang w:val="ru" w:eastAsia="zh-CN"/>
                <w14:ligatures w14:val="none"/>
              </w:rPr>
              <w:t>П.</w:t>
            </w:r>
          </w:p>
        </w:tc>
      </w:tr>
    </w:tbl>
    <w:p w14:paraId="0E6FC210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707497EE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43F58789" w14:textId="77777777" w:rsidR="00D57E28" w:rsidRPr="00D57E28" w:rsidRDefault="00D57E28" w:rsidP="00D57E28">
      <w:pPr>
        <w:spacing w:before="240" w:after="240" w:line="360" w:lineRule="auto"/>
        <w:jc w:val="center"/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 xml:space="preserve"> </w:t>
      </w:r>
    </w:p>
    <w:p w14:paraId="3D5D7932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45FF589E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6FF77CFD" w14:textId="77777777" w:rsidR="00D57E28" w:rsidRPr="00D57E28" w:rsidRDefault="00D57E28" w:rsidP="00D57E28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lang w:val="en-US" w:eastAsia="zh-CN"/>
          <w14:ligatures w14:val="none"/>
        </w:rPr>
      </w:pPr>
    </w:p>
    <w:p w14:paraId="205940E4" w14:textId="39BFF9B6" w:rsidR="004E49BF" w:rsidRPr="00D57E28" w:rsidRDefault="00D57E28" w:rsidP="00D57E2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57E28">
        <w:rPr>
          <w:rFonts w:ascii="Times New Roman" w:eastAsia="SimSun" w:hAnsi="Times New Roman" w:cs="Times New Roman"/>
          <w:kern w:val="0"/>
          <w:lang w:val="ru" w:eastAsia="zh-CN"/>
          <w14:ligatures w14:val="none"/>
        </w:rPr>
        <w:t>Новосибирск, 202</w:t>
      </w:r>
      <w:r w:rsidRPr="00D57E28">
        <w:rPr>
          <w:rFonts w:ascii="Times New Roman" w:eastAsia="SimSun" w:hAnsi="Times New Roman" w:cs="Times New Roman"/>
          <w:kern w:val="0"/>
          <w:lang w:eastAsia="zh-CN"/>
          <w14:ligatures w14:val="none"/>
        </w:rPr>
        <w:t>6</w:t>
      </w:r>
    </w:p>
    <w:p>
      <w:pPr>
        <w:keepNext/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Образовательные курсы, связанные с искусственным интеллектом (ИИ), развиваются в двух направлениях. В первом ИИ является предметом изучения: студентов обучают машинному обучению, анализу данных, этике и безопасности ИИ. Во втором ИИ используется как инструмент обучения: адаптивные учебные траектории, интеллектуальные тьюторы, автоматизированная проверка работ, генерация учебных материалов. Оба направления нередко сочетаются в одном курсе, но регулируются разными группами документов, и единого стандарта «образовательного ИИ-курса» на сегодня не существует.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Правовой основой организации таких курсов в России служит Федеральный закон «Об образовании в Российской Федерации», допускающий применение электронного обучения и дистанционных образовательных технологий [2]. Национальная стратегия развития ИИ на период до 2030 года среди приоритетов называет подготовку кадров и повышение уровня компетенций в области ИИ [1].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— систематизировать стандарты и нормативные документы, применимые к образовательным ИИ-курсам, и выявить нерешённые вопросы. Рассматриваются стандарты содержания и компетенций, качества и менеджмента, технической совместимости, а также этические и правовые требования.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 Особенности образовательных ИИ-курсов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Систематические обзоры показывают, что значительная часть исследований по применению ИИ в высшем образовании выполняется без участия педагогов и слабо опирается на педагогическую теорию, а риски и этические вопросы обсуждаются недостаточно [3].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курсов, где ИИ выступает предметом изучения, центральный вопрос — набор формируемых компетенций. Д. Лонг и Б. Магерко предложили описание «грамотности в области ИИ» как набора компетенций, которые позволяют критически оценивать ИИ-технологии, взаимодействовать с ними и применять их, а также сформулировали рекомендации по проектированию обучения [4]. Для курсов, где ИИ служит инструментом, добавляются вопросы достоверности автоматической оценки, прозрачности алгоритмов и защиты данных обучающихся. В обоих случаях необходимы согласованные требования к результатам обучения, процессам и используемым технологиям.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 Стандарты содержания и компетенций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Наиболее проработанными международными документами по содержанию ИИ-образования являются рамки компетенций ЮНЕСКО, опубликованные в 2024 году. Рамка для студентов описывает 12 компетенций в четырёх областях: человекоцентричное мышление, этика ИИ, методы и применение ИИ, проектирование ИИ-систем. Компетенции раскрываются на трёх уровнях: понимание, применение, создание [5]. Рамка для преподавателей включает 15 компетенций в пяти областях, среди которых основы и применение ИИ, педагогика ИИ и использование ИИ для профессионального развития; уровни здесь называются «освоение», «углубление» и «создание» [6].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Эти документы не являются стандартами в строгом смысле и носят рекомендательный характер, но выполняют их функцию: задают общий язык для разработки программ, критериев оценки и повышения квалификации преподавателей.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 Стандарты качества и менеджмента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уровне организации образовательной деятельности ключевым документом остаётся ISO 21001, устанавливающий требования к системе менеджмента образовательных организаций. В июле 2025 года вышла вторая редакция стандарта, заменившая издание 2018 года [7]. Он применим к любой организации, которая реализует учебный план для развития компетенций, независимо от формы обучения, поэтому может использоваться и для курсов с ИИ. Стандарт требует процессного подхода, учёта потребностей обучающихся и непрерывного улучшения, но не содержит специфических требований к ИИ-компонентам.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Эти требования дополняются стандартами в области ИИ. Терминологию задаёт ISO/IEC 22989:2022 [8]. Требования к системе менеджмента ИИ в организации, которая разрабатывает, предоставляет или использует ИИ-системы, устанавливает ISO/IEC 42001:2023 [9], а управление рисками, связанными с ИИ, рассматривается в ISO/IEC 23894:2023 [10]. В национальной системе вопросы доверия к ИИ-системам описаны в ГОСТ Р 59276-2020 [11], а общие положения по оценке их качества — в ГОСТ Р 59898-2021 [12].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Совместное применение этих документов позволяет выстроить для ИИ-курса понятную цепочку: цели обучения и процессы описываются на основе стандарта для образовательных организаций, а используемые ИИ-инструменты оцениваются по критериям качества, надёжности и риска. Таким образом, формального «стандарта ИИ-курса» нет, но его функции можно воспроизвести, комбинируя существующие документы.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 Технические стандарты совместимости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Образовательные ИИ-курсы обычно реализуются на базе систем управления обучением (LMS), в которые встраиваются сторонние сервисы: интеллектуальные тьюторы, средства антиплагиата, генераторы заданий, платформы для практических работ. Для такой интеграции применяется спецификация LTI консорциума 1EdTech, позволяющая единообразно подключать внешние инструменты и контент к LMS [13]. Использование стандартного интерфейса снижает зависимость от конкретного поставщика и упрощает замену сервисов.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сбора данных об учебной деятельности используется стандарт IEEE 9274.1.1-2023, описывающий формат данных в JSON и программный интерфейс для обмена данными между источниками учебной активности и хранилищем записей об обучении (xAPI) [14]. Стандарт принят и как международный документ ISO/IEC/IEEE 39274-1-1:2025. Единый формат важен для ИИ-курсов, поскольку именно такие данные служат основой для адаптации траекторий и аналитики успеваемости. Если они собираются в разных форматах, модели невозможно переносить между платформами и корректно сравнивать результаты.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 Этические и правовые требования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Применение ИИ в образовании затрагивает чувствительные вопросы справедливости, прозрачности, предвзятости и автономии обучающихся. Работа Холмса и соавторов, основанная на опросе исследователей в этой области, показывает, что большинство специалистов по ИИ в образовании не обучены решению возникающих этических вопросов, и подчёркивает потребность в согласованных рекомендациях и междисциплинарном подходе [15].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Регламент Европейского союза 2024/1689 относит к системам высокого риска ИИ-системы, предназначенные для определения доступа к образованию, оценки результатов обучения, определения подходящего уровня образования и выявления запрещённого поведения обучающихся во время экзаменов [16]. Кроме того, регламент запрещает использовать системы, определяющие эмоции людей, в образовательных организациях, за исключением медицинских целей и целей безопасности [16]. Сроки применения отдельных положений регламента уточнялись, поэтому их нужно проверять по действующей редакции документа. Для российских образовательных организаций регламент не обязателен, но он служит ориентиром, особенно при работе с зарубежными поставщиками и в программах международного сотрудничества.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России при использовании ИИ-курсов действует законодательство о персональных данных: Федеральный закон № 152-ФЗ устанавливает требования к обработке данных, включая данные об успеваемости, поведении и активности обучающихся [17]. Это существенно для систем учебной аналитики и прокторинга, которые собирают большие объёмы сведений. На практике необходимо определить основания обработки, срок хранения данных, права обучающихся и порядок взаимодействия с поставщиками облачных ИИ-сервисов.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 Нерешённые проблемы и рекомендации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Анализ показывает, что стандартизация образовательных ИИ-курсов пока фрагментарна. Во-первых, отсутствует единый документ, объединяющий требования к содержанию, процессу, технологиям и этике таких курсов. Во-вторых, существующие стандарты менеджмента образования и стандарты ИИ развивались независимо, и их связь описана лишь на уровне общих принципов. В-третьих, рамки компетенций носят рекомендательный характер и требуют адаптации к национальным условиям, а общепринятых методик оценки сформированности «грамотности в области ИИ» почти нет.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практики можно предложить следующий подход. При разработке курса необходимо определить, является ли ИИ предметом изучения, инструментом обучения или тем и другим одновременно, и на этой основе выбрать применимые документы. Компетенции целесообразно описывать на основе рамок ЮНЕСКО, процессы и качество — на основе ISO 21001 и национальных стандартов по ИИ, интеграцию — на основе LTI и xAPI. Для ИИ-инструментов, влияющих на оценивание и доступ к обучению, следует предусмотреть оценку рисков, человеческий контроль решений, прозрачность критериев и защиту персональных данных.</w:t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Образовательные ИИ-курсы находятся на пересечении нескольких направлений стандартизации: компетенций, менеджмента образования, управления ИИ, технической совместимости и защиты данных. Единого стандарта для них нет, но совместное применение существующих документов позволяет построить непротиворечивую систему требований. Основными задачами дальнейшей работы являются разработка национальных профилей компетенций в области ИИ, согласование стандартов образования и стандартов ИИ, а также создание методик оценки качества и рисков ИИ-инструментов в образовательном процессе.</w:t>
      </w:r>
    </w:p>
    <w:p>
      <w:pPr>
        <w:keepNext/>
        <w:pageBreakBefore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ИСПОЛЬЗОВАННОЙ ЛИТЕРАТУРЫ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О развитии искусственного интеллекта в Российской Федерации : Указ Президента РФ от 10.10.2019 № 490 (ред. от 15.02.2024) (вместе с «Национальной стратегией развития искусственного интеллекта на период до 2030 года») // Собрание законодательства Российской Федерации. – 2019. – № 41. – Ст. 5700. – URL: https://base.garant.ru/72838946/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Об образовании в Российской Федерации : Федеральный закон от 29.12.2012 № 273-ФЗ // Собрание законодательства Российской Федерации. – 2012. – № 53 (ч. 1). – Ст. 7598.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Zawacki-Richter O., Marín V. I., Bond M., Gouverneur F. Systematic review of research on artificial intelligence applications in higher education – where are the educators? // International Journal of Educational Technology in Higher Education. – 2019. – Vol. 16. – Art. 39. – DOI: 10.1186/s41239-019-0171-0.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Long D., Magerko B. What is AI Literacy? Competencies and Design Considerations // Proceedings of the 2020 CHI Conference on Human Factors in Computing Systems. – New York: ACM, 2020. – P. 1–16. – DOI: 10.1145/3313831.3376727.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Miao F., Shiohira K. AI competency framework for students. – Paris: UNESCO, 2024. – 80 p. – DOI: 10.54675/JKJB9835. – URL: https://unesdoc.unesco.org/ark:/48223/pf0000391105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AI competency framework for teachers. – Paris: UNESCO, 2024. – 52 p. – URL: https://unesdoc.unesco.org/ark:/48223/pf0000391104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ISO 21001:2025. Educational organizations – Management systems for educational organizations – Requirements with guidance for use. – 2nd ed. – Geneva: ISO, 2025. – URL: https://www.iso.org/standard/86809.html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ISO/IEC 22989:2022. Information technology – Artificial intelligence – Artificial intelligence concepts and terminology. – Geneva: ISO, 2022. – URL: https://www.iso.org/standard/74296.html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ISO/IEC 42001:2023. Information technology – Artificial intelligence – Management system. – Geneva: ISO, 2023. – URL: https://www.iso.org/standard/81230.html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10. ISO/IEC 23894:2023. Information technology – Artificial intelligence – Guidance on risk management. – Geneva: ISO, 2023. – URL: https://www.iso.org/standard/77304.html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11. ГОСТ Р 59276-2020. Системы искусственного интеллекта. Способы обеспечения доверия. Общие положения. – М.: Стандартинформ, 2020.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12. ГОСТ Р 59898-2021. Оценка качества систем искусственного интеллекта. Общие положения. – М.: Стандартинформ, 2021.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13. Learning Tools Interoperability (LTI) Implementation Guide [Electronic resource]. – 1EdTech Consortium. – URL: https://standards.1edtech.org/lti/guides/implementation_guide2/sections/abstract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14. IEEE 9274.1.1-2023. IEEE Standard for Learning Technology – JavaScript Object Notation (JSON) Data Model Format and Representational State Transfer (RESTful) Web Service for Learner Experience Data Tracking and Access. – New York: IEEE, 2023. – URL: https://standards.ieee.org/ieee/39274-1-1/12268/9274.1.1/7321/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15. Holmes W., Porayska-Pomsta K., Holstein K. et al. Ethics of AI in Education: Towards a Community-Wide Framework // International Journal of Artificial Intelligence in Education. – 2022. – Vol. 32, № 3. – P. 504–526. – DOI: 10.1007/s40593-021-00239-1.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16. Regulation (EU) 2024/1689 of the European Parliament and of the Council of 13 June 2024 laying down harmonised rules on artificial intelligence (Artificial Intelligence Act) // Official Journal of the European Union. – 2024. – L, 2024/1689. – URL: https://eur-lex.europa.eu/eli/reg/2024/1689/oj (дата обращения: 23.10.2026).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17. О персональных данных : Федеральный закон от 27.07.2006 № 152-ФЗ // Собрание законодательства Российской Федерации. – 2006. – № 31 (ч. 1). – Ст. 3451.</w:t>
      </w:r>
    </w:p>
    <w:sectPr w:rsidR="004E49BF" w:rsidRPr="00D57E28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FA"/>
    <w:rsid w:val="001A7DFA"/>
    <w:rsid w:val="00347F45"/>
    <w:rsid w:val="004E49BF"/>
    <w:rsid w:val="00AE0DA6"/>
    <w:rsid w:val="00D5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A140D"/>
  <w15:chartTrackingRefBased/>
  <w15:docId w15:val="{29614B78-EB77-4B26-9695-6810F193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2</cp:revision>
  <dcterms:created xsi:type="dcterms:W3CDTF">2026-10-23T07:56:00Z</dcterms:created>
  <dcterms:modified xsi:type="dcterms:W3CDTF">2026-10-23T07:57:00Z</dcterms:modified>
</cp:coreProperties>
</file>