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FA65D" w14:textId="59DCDA32" w:rsidR="00694F0B" w:rsidRPr="00694F0B" w:rsidRDefault="00694F0B" w:rsidP="003F4E58">
      <w:pPr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МИНИСТЕРСТВО НАУКИ И ВЫСШЕГО ОБРАЗОВАНИЯ РОССИЙСКОЙ ФЕДЕРАЦИИ</w:t>
      </w:r>
    </w:p>
    <w:p w14:paraId="1A4E0B1D" w14:textId="77777777" w:rsidR="00694F0B" w:rsidRPr="00694F0B" w:rsidRDefault="00694F0B" w:rsidP="00694F0B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ФЕДЕРАЛЬНОЕ ГОСУДАРСТВЕННОЕ БЮДЖЕТНОЕ ОБРАЗОВАТЕЛЬНОЕ УЧРЕЖДЕНИЕ</w:t>
      </w:r>
    </w:p>
    <w:p w14:paraId="3F0D1C65" w14:textId="77777777" w:rsidR="00694F0B" w:rsidRPr="00694F0B" w:rsidRDefault="00694F0B" w:rsidP="00694F0B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ВЫСШЕГО ОБРАЗОВАНИЯ </w:t>
      </w:r>
    </w:p>
    <w:p w14:paraId="750725C1" w14:textId="77777777" w:rsidR="00694F0B" w:rsidRPr="00694F0B" w:rsidRDefault="00694F0B" w:rsidP="00694F0B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«НОВОСИБИРСКИЙ ГОСУДАРСТВЕННЫЙ ТЕХНИЧЕСКИЙ УНИВЕРСИТЕТ»</w:t>
      </w:r>
    </w:p>
    <w:p w14:paraId="2E405FDD" w14:textId="77777777" w:rsidR="00694F0B" w:rsidRPr="00694F0B" w:rsidRDefault="00694F0B" w:rsidP="00694F0B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__________________________________________________________________</w:t>
      </w:r>
    </w:p>
    <w:p w14:paraId="76AA79C6" w14:textId="77777777" w:rsidR="00694F0B" w:rsidRPr="00694F0B" w:rsidRDefault="00694F0B" w:rsidP="00694F0B">
      <w:pPr>
        <w:spacing w:before="240" w:after="240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>Кафедра Вычислительной техники</w:t>
      </w:r>
    </w:p>
    <w:p w14:paraId="050E8EA1" w14:textId="77777777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sz w:val="24"/>
          <w:szCs w:val="24"/>
          <w:lang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1A8266F8" w14:textId="77777777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17B4FF94" w14:textId="77777777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lang w:eastAsia="zh-CN"/>
        </w:rPr>
      </w:pPr>
      <w:r w:rsidRPr="00694F0B">
        <w:rPr>
          <w:rFonts w:eastAsia="SimSun"/>
          <w:lang w:eastAsia="zh-CN"/>
        </w:rPr>
        <w:t>РЕФЕРАТ</w:t>
      </w:r>
    </w:p>
    <w:p w14:paraId="16AD8B98" w14:textId="77777777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lang w:eastAsia="zh-CN"/>
        </w:rPr>
      </w:pPr>
      <w:r w:rsidRPr="00694F0B">
        <w:rPr>
          <w:rFonts w:eastAsia="SimSun"/>
          <w:lang w:val="ru" w:eastAsia="zh-CN"/>
        </w:rPr>
        <w:t>по дисциплине: «Стандартизация систем на базе искусственного интеллекта»</w:t>
      </w:r>
    </w:p>
    <w:p w14:paraId="072082DF" w14:textId="61CF8C85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highlight w:val="yellow"/>
          <w:lang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  <w:r w:rsidRPr="00694F0B">
        <w:rPr>
          <w:rFonts w:eastAsia="SimSun"/>
          <w:lang w:eastAsia="zh-CN"/>
        </w:rPr>
        <w:t>на тему</w:t>
      </w:r>
      <w:r>
        <w:rPr>
          <w:rFonts w:eastAsia="SimSun"/>
          <w:lang w:eastAsia="zh-CN"/>
        </w:rPr>
        <w:t xml:space="preserve"> </w:t>
      </w:r>
      <w:r w:rsidRPr="00694F0B">
        <w:rPr>
          <w:rFonts w:eastAsia="SimSun"/>
          <w:lang w:val="ru" w:eastAsia="zh-CN"/>
        </w:rPr>
        <w:t>«Интеграция ИИ в существующие системы: проблемы совместимости»</w:t>
      </w:r>
    </w:p>
    <w:p w14:paraId="1AD0FE6B" w14:textId="05495AE4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694F0B" w:rsidRPr="00694F0B" w14:paraId="52F392BE" w14:textId="77777777" w:rsidTr="00854AA2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D0B30" w14:textId="77777777" w:rsidR="00694F0B" w:rsidRPr="00694F0B" w:rsidRDefault="00694F0B" w:rsidP="00694F0B">
            <w:pPr>
              <w:spacing w:after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</w:p>
          <w:p w14:paraId="156312BF" w14:textId="77777777" w:rsidR="00694F0B" w:rsidRPr="00694F0B" w:rsidRDefault="00694F0B" w:rsidP="00694F0B">
            <w:pPr>
              <w:spacing w:after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Выполнил:</w:t>
            </w:r>
          </w:p>
          <w:p w14:paraId="14D2E8DB" w14:textId="77777777" w:rsidR="00694F0B" w:rsidRPr="00694F0B" w:rsidRDefault="00694F0B" w:rsidP="00694F0B">
            <w:pPr>
              <w:spacing w:before="240" w:after="240" w:line="360" w:lineRule="auto"/>
              <w:rPr>
                <w:rFonts w:eastAsia="SimSun"/>
                <w:sz w:val="24"/>
                <w:szCs w:val="24"/>
                <w:highlight w:val="yellow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 xml:space="preserve">Студент гр. </w:t>
            </w:r>
            <w:r w:rsidRPr="00694F0B">
              <w:rPr>
                <w:rFonts w:eastAsia="SimSun"/>
                <w:sz w:val="24"/>
                <w:szCs w:val="24"/>
                <w:lang w:eastAsia="zh-CN"/>
              </w:rPr>
              <w:t>АПИМ-25</w:t>
            </w: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, АВТФ:</w:t>
            </w:r>
          </w:p>
          <w:p w14:paraId="7A3BC743" w14:textId="77777777" w:rsidR="00694F0B" w:rsidRPr="00694F0B" w:rsidRDefault="00694F0B" w:rsidP="00694F0B">
            <w:pPr>
              <w:spacing w:before="240" w:line="360" w:lineRule="auto"/>
              <w:rPr>
                <w:rFonts w:eastAsia="SimSun"/>
                <w:sz w:val="24"/>
                <w:szCs w:val="24"/>
                <w:lang w:eastAsia="zh-CN"/>
              </w:rPr>
            </w:pPr>
            <w:r w:rsidRPr="00694F0B">
              <w:rPr>
                <w:rFonts w:eastAsia="SimSun"/>
                <w:sz w:val="24"/>
                <w:szCs w:val="24"/>
                <w:lang w:eastAsia="zh-CN"/>
              </w:rPr>
              <w:t>Клименко К. В.</w:t>
            </w:r>
          </w:p>
          <w:p w14:paraId="62584DE6" w14:textId="77777777" w:rsidR="00694F0B" w:rsidRPr="00694F0B" w:rsidRDefault="00694F0B" w:rsidP="00694F0B">
            <w:pPr>
              <w:spacing w:before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 xml:space="preserve">          </w:t>
            </w: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546E" w14:textId="77777777" w:rsidR="00694F0B" w:rsidRPr="00694F0B" w:rsidRDefault="00694F0B" w:rsidP="00694F0B">
            <w:pPr>
              <w:spacing w:after="240" w:line="360" w:lineRule="auto"/>
              <w:rPr>
                <w:rFonts w:eastAsia="SimSun"/>
                <w:sz w:val="24"/>
                <w:szCs w:val="24"/>
                <w:lang w:val="ru" w:eastAsia="zh-CN"/>
              </w:rPr>
            </w:pPr>
          </w:p>
          <w:p w14:paraId="5E010508" w14:textId="77777777" w:rsidR="00694F0B" w:rsidRPr="00694F0B" w:rsidRDefault="00694F0B" w:rsidP="00694F0B">
            <w:pPr>
              <w:spacing w:after="240" w:line="360" w:lineRule="auto"/>
              <w:ind w:firstLine="1184"/>
              <w:rPr>
                <w:rFonts w:eastAsia="SimSun"/>
                <w:sz w:val="24"/>
                <w:szCs w:val="24"/>
                <w:lang w:val="ru"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Преподаватель:</w:t>
            </w:r>
          </w:p>
          <w:p w14:paraId="682AF485" w14:textId="77777777" w:rsidR="00694F0B" w:rsidRPr="00694F0B" w:rsidRDefault="00694F0B" w:rsidP="00694F0B">
            <w:pPr>
              <w:spacing w:before="240" w:line="360" w:lineRule="auto"/>
              <w:ind w:firstLine="1184"/>
              <w:rPr>
                <w:rFonts w:eastAsia="SimSun"/>
                <w:sz w:val="24"/>
                <w:szCs w:val="24"/>
                <w:highlight w:val="yellow"/>
                <w:lang w:eastAsia="zh-CN"/>
              </w:rPr>
            </w:pP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Ильиных С.</w:t>
            </w:r>
            <w:r w:rsidRPr="00694F0B">
              <w:rPr>
                <w:rFonts w:eastAsia="SimSun"/>
                <w:sz w:val="24"/>
                <w:szCs w:val="24"/>
                <w:lang w:val="en-US" w:eastAsia="zh-CN"/>
              </w:rPr>
              <w:t xml:space="preserve"> </w:t>
            </w:r>
            <w:r w:rsidRPr="00694F0B">
              <w:rPr>
                <w:rFonts w:eastAsia="SimSun"/>
                <w:sz w:val="24"/>
                <w:szCs w:val="24"/>
                <w:lang w:val="ru" w:eastAsia="zh-CN"/>
              </w:rPr>
              <w:t>П.</w:t>
            </w:r>
          </w:p>
        </w:tc>
      </w:tr>
    </w:tbl>
    <w:p w14:paraId="65516999" w14:textId="77777777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sz w:val="24"/>
          <w:szCs w:val="24"/>
          <w:lang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7F4D05F8" w14:textId="77777777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48EAF0CE" w14:textId="77777777" w:rsidR="00694F0B" w:rsidRPr="00694F0B" w:rsidRDefault="00694F0B" w:rsidP="00694F0B">
      <w:pPr>
        <w:spacing w:before="240" w:after="240" w:line="360" w:lineRule="auto"/>
        <w:jc w:val="center"/>
        <w:rPr>
          <w:rFonts w:eastAsia="SimSun"/>
          <w:sz w:val="24"/>
          <w:szCs w:val="24"/>
          <w:lang w:val="ru" w:eastAsia="zh-CN"/>
        </w:rPr>
      </w:pPr>
      <w:r w:rsidRPr="00694F0B">
        <w:rPr>
          <w:rFonts w:eastAsia="SimSun"/>
          <w:sz w:val="24"/>
          <w:szCs w:val="24"/>
          <w:lang w:val="ru" w:eastAsia="zh-CN"/>
        </w:rPr>
        <w:t xml:space="preserve"> </w:t>
      </w:r>
    </w:p>
    <w:p w14:paraId="33970FCE" w14:textId="7824F675" w:rsidR="00694F0B" w:rsidRDefault="00694F0B" w:rsidP="003F4E58">
      <w:pPr>
        <w:jc w:val="center"/>
      </w:pPr>
      <w:r w:rsidRPr="00694F0B">
        <w:rPr>
          <w:rFonts w:eastAsia="SimSun"/>
          <w:sz w:val="24"/>
          <w:szCs w:val="24"/>
          <w:lang w:val="ru" w:eastAsia="zh-CN"/>
        </w:rPr>
        <w:t>Новосибирск, 202</w:t>
      </w:r>
      <w:r w:rsidRPr="00694F0B">
        <w:rPr>
          <w:rFonts w:eastAsia="SimSun"/>
          <w:sz w:val="24"/>
          <w:szCs w:val="24"/>
          <w:lang w:eastAsia="zh-CN"/>
        </w:rPr>
        <w:t>6</w:t>
      </w:r>
    </w:p>
    <w:p w14:paraId="385ED106" w14:textId="77777777" w:rsidR="00A71D72" w:rsidRDefault="00000000">
      <w:pPr>
        <w:keepNext/>
        <w:spacing w:line="360" w:lineRule="auto"/>
        <w:jc w:val="center"/>
      </w:pPr>
      <w:r>
        <w:rPr>
          <w:b/>
          <w:bCs/>
        </w:rPr>
        <w:lastRenderedPageBreak/>
        <w:t>ВВЕДЕНИЕ</w:t>
      </w:r>
    </w:p>
    <w:p w14:paraId="28859F29" w14:textId="77777777" w:rsidR="00A71D72" w:rsidRDefault="00000000">
      <w:pPr>
        <w:spacing w:line="360" w:lineRule="auto"/>
        <w:ind w:firstLine="709"/>
        <w:jc w:val="both"/>
      </w:pPr>
      <w:r>
        <w:t>Системы на базе искусственного интеллекта (ИИ) всё реже создаются «с нуля» и всё чаще внедряются в уже действующую ИТ-инфраструктуру: ERP- и CRM-системы, промышленные системы управления, медицинские информационные системы, банковские и государственные платформы. Такие системы формировались десятилетиями, опираются на устоявшиеся протоколы, форматы данных и регламенты, поэтому добавление в них компонентов машинного обучения порождает комплекс проблем совместимости, имеющих не только технический, но также организационный и нормативный характер.</w:t>
      </w:r>
    </w:p>
    <w:p w14:paraId="2937A26A" w14:textId="77777777" w:rsidR="00A71D72" w:rsidRDefault="00000000">
      <w:pPr>
        <w:spacing w:line="360" w:lineRule="auto"/>
        <w:ind w:firstLine="709"/>
        <w:jc w:val="both"/>
      </w:pPr>
      <w:r>
        <w:t>Актуальность темы определяется тем, что основные трудности в проектах по ИИ возникают не при обучении модели, а при её развёртывании и сопровождении в реальной среде [1]. Согласно известной работе Д. Скалли и соавторов, собственно код модели составляет лишь небольшую часть сложной системы, а основная доля проблем приходится на окружающую инфраструктуру и связи с другими компонентами [2].</w:t>
      </w:r>
    </w:p>
    <w:p w14:paraId="565E9107" w14:textId="77777777" w:rsidR="00A71D72" w:rsidRDefault="00000000">
      <w:pPr>
        <w:spacing w:line="360" w:lineRule="auto"/>
        <w:ind w:firstLine="709"/>
        <w:jc w:val="both"/>
      </w:pPr>
      <w:r>
        <w:t>Цель работы — рассмотреть основные проблемы совместимости при интеграции ИИ в существующие системы и определить роль стандартизации в их решении. Для этого раскрываются формы интеграции, классифицируются проблемы совместимости, рассматриваются практические подходы к их снижению и анализируются международные и национальные стандарты.</w:t>
      </w:r>
    </w:p>
    <w:p w14:paraId="04EE8F31" w14:textId="77777777" w:rsidR="00A71D72" w:rsidRDefault="00000000">
      <w:pPr>
        <w:keepNext/>
        <w:spacing w:line="360" w:lineRule="auto"/>
        <w:jc w:val="center"/>
      </w:pPr>
      <w:r>
        <w:rPr>
          <w:b/>
          <w:bCs/>
        </w:rPr>
        <w:t>1. Понятие и формы интеграции ИИ-компонентов</w:t>
      </w:r>
    </w:p>
    <w:p w14:paraId="4EF7EF84" w14:textId="77777777" w:rsidR="00A71D72" w:rsidRDefault="00000000">
      <w:pPr>
        <w:spacing w:line="360" w:lineRule="auto"/>
        <w:ind w:firstLine="709"/>
        <w:jc w:val="both"/>
      </w:pPr>
      <w:r>
        <w:t>Согласно стандарту ISO/IEC 22989:2022, система ИИ представляет собой инженерную систему, которая формирует выходные данные — контент, прогнозы, рекомендации или решения — для заданного набора целей, определённых человеком [3]. В национальной системе стандартов вопросы доверия к таким системам рассматриваются в ГОСТ Р 59276-2020 [4]. Под интеграцией понимается включение ИИ-компонента в состав действующей информационной системы так, чтобы он обменивался данными с другими компонентами и выполнял функции в общем бизнес-процессе.</w:t>
      </w:r>
    </w:p>
    <w:p w14:paraId="18AC74F2" w14:textId="77777777" w:rsidR="00A71D72" w:rsidRDefault="00000000">
      <w:pPr>
        <w:spacing w:line="360" w:lineRule="auto"/>
        <w:ind w:firstLine="709"/>
        <w:jc w:val="both"/>
      </w:pPr>
      <w:r>
        <w:lastRenderedPageBreak/>
        <w:t xml:space="preserve">На практике применяются несколько форм интеграции: встраивание модели в приложение в виде библиотеки; вызов модели как отдельного сервиса через сетевой интерфейс (REST, </w:t>
      </w:r>
      <w:proofErr w:type="spellStart"/>
      <w:r>
        <w:t>gRPC</w:t>
      </w:r>
      <w:proofErr w:type="spellEnd"/>
      <w:r>
        <w:t xml:space="preserve">); потоковая обработка данных </w:t>
      </w:r>
      <w:proofErr w:type="gramStart"/>
      <w:r>
        <w:t>через брокеры</w:t>
      </w:r>
      <w:proofErr w:type="gramEnd"/>
      <w:r>
        <w:t xml:space="preserve"> сообщений; исполнение модели на периферийных (edge) устройствах. Для корпоративных систем давно разработаны шаблоны интеграции — обмен сообщениями, адаптеры, канонические модели данных [5]. Однако они создавались до массового распространения машинного обучения и не учитывают специфику ИИ: вероятностный характер результата, зависимость поведения от обучающих данных и возможность деградации качества со временем.</w:t>
      </w:r>
    </w:p>
    <w:p w14:paraId="2B0F2129" w14:textId="77777777" w:rsidR="00A71D72" w:rsidRDefault="00000000">
      <w:pPr>
        <w:spacing w:line="360" w:lineRule="auto"/>
        <w:ind w:firstLine="709"/>
        <w:jc w:val="both"/>
      </w:pPr>
      <w:r>
        <w:t>Для анализа проблем совместимости удобно различать четыре уровня: технический (протоколы, форматы данных, среды исполнения), семантический (единое понимание смысла данных и результатов работы модели), процессный (согласование жизненных циклов, регламентов и ролей) и нормативный (соответствие требованиям регуляторов и стандартов). Именно эта классификация положена в основу дальнейшего рассмотрения.</w:t>
      </w:r>
    </w:p>
    <w:p w14:paraId="7E77F30A" w14:textId="77777777" w:rsidR="00A71D72" w:rsidRDefault="00000000">
      <w:pPr>
        <w:spacing w:line="360" w:lineRule="auto"/>
        <w:ind w:firstLine="709"/>
        <w:jc w:val="both"/>
      </w:pPr>
      <w:r>
        <w:t>Отличие ИИ-компонента от обычного программного модуля состоит в том, что его поведение не задано явными правилами, а извлечено из данных. Один и тот же интерфейс может скрывать модель, которая даёт разные результаты после переобучения, а ошибки проявляются не как отказ, а как снижение точности, которое трудно обнаружить стандартными средствами контроля. Это делает привычные методы приёмочного тестирования и сопровождения недостаточными.</w:t>
      </w:r>
    </w:p>
    <w:p w14:paraId="5AB3BBF8" w14:textId="77777777" w:rsidR="00A71D72" w:rsidRDefault="00000000">
      <w:pPr>
        <w:keepNext/>
        <w:spacing w:line="360" w:lineRule="auto"/>
        <w:jc w:val="center"/>
      </w:pPr>
      <w:r>
        <w:rPr>
          <w:b/>
          <w:bCs/>
        </w:rPr>
        <w:t>2. Основные проблемы совместимости</w:t>
      </w:r>
    </w:p>
    <w:p w14:paraId="3C3F0451" w14:textId="77777777" w:rsidR="00A71D72" w:rsidRDefault="00000000">
      <w:pPr>
        <w:keepNext/>
        <w:spacing w:line="360" w:lineRule="auto"/>
        <w:ind w:firstLine="709"/>
      </w:pPr>
      <w:r>
        <w:rPr>
          <w:b/>
          <w:bCs/>
        </w:rPr>
        <w:t>2.1. Архитектурная и технологическая несовместимость</w:t>
      </w:r>
    </w:p>
    <w:p w14:paraId="58956E7E" w14:textId="77777777" w:rsidR="00A71D72" w:rsidRDefault="00000000">
      <w:pPr>
        <w:spacing w:line="360" w:lineRule="auto"/>
        <w:ind w:firstLine="709"/>
        <w:jc w:val="both"/>
      </w:pPr>
      <w:r>
        <w:t xml:space="preserve">Унаследованные системы часто построены на монолитной архитектуре, устаревших платформах и закрытых интерфейсах, тогда как ИИ-компоненты разрабатываются на стеке современных языков и фреймворков, требуют специфических библиотек и зачастую графических ускорителей. Исследование практики компании Microsoft показало, что при встраивании </w:t>
      </w:r>
      <w:r>
        <w:lastRenderedPageBreak/>
        <w:t>моделей в программные продукты возникают трудности, связанные с управлением данными, взаимозависимостью моделей и различиями в культуре работы команд специалистов по данным и программных инженеров [6].</w:t>
      </w:r>
    </w:p>
    <w:p w14:paraId="77BCB428" w14:textId="77777777" w:rsidR="00A71D72" w:rsidRDefault="00000000">
      <w:pPr>
        <w:spacing w:line="360" w:lineRule="auto"/>
        <w:ind w:firstLine="709"/>
        <w:jc w:val="both"/>
      </w:pPr>
      <w:r>
        <w:t>Д. Скалли и соавторы описывают «скрытый технический долг» ИИ-систем: размывание границ между модулями, запутанность компонентов (изменение одного элемента влияет на всю систему), скрытые циклы обратной связи, неучтённых потребителей выходных данных модели и избыточный «связующий» код [2]. Всё это усложняет подключение модели к существующей системе и делает последствия таких изменений трудно предсказуемыми.</w:t>
      </w:r>
    </w:p>
    <w:p w14:paraId="1D586150" w14:textId="77777777" w:rsidR="00A71D72" w:rsidRDefault="00000000">
      <w:pPr>
        <w:keepNext/>
        <w:spacing w:line="360" w:lineRule="auto"/>
        <w:ind w:firstLine="709"/>
      </w:pPr>
      <w:r>
        <w:rPr>
          <w:b/>
          <w:bCs/>
        </w:rPr>
        <w:t>2.2. Несовместимость данных</w:t>
      </w:r>
    </w:p>
    <w:p w14:paraId="6299FA6D" w14:textId="77777777" w:rsidR="00A71D72" w:rsidRDefault="00000000">
      <w:pPr>
        <w:spacing w:line="360" w:lineRule="auto"/>
        <w:ind w:firstLine="709"/>
        <w:jc w:val="both"/>
      </w:pPr>
      <w:r>
        <w:t>Модели чувствительны к структуре, формату, единицам измерения и семантике входных данных. Унаследованные системы нередко хранят данные в разнородных форматах, с пропусками и без единых справочников, а в разных подразделениях одни и те же понятия трактуются по-разному. Для снижения этого риска предложено сопровождать наборы данных формализованной документацией, где описаны назначение, состав и способ сбора данных [7].</w:t>
      </w:r>
    </w:p>
    <w:p w14:paraId="4829028F" w14:textId="77777777" w:rsidR="00A71D72" w:rsidRDefault="00000000">
      <w:pPr>
        <w:spacing w:line="360" w:lineRule="auto"/>
        <w:ind w:firstLine="709"/>
        <w:jc w:val="both"/>
      </w:pPr>
      <w:r>
        <w:t>Дополнительная проблема связана с изменением распределения данных. Классические методы машинного обучения исходят из предположения, что обучающие и рабочие данные получены из одного распределения [8], тогда как в реальной эксплуатации оно меняется, и точность модели снижается. Для существующей системы это означает необходимость постоянного мониторинга качества входных данных.</w:t>
      </w:r>
    </w:p>
    <w:p w14:paraId="6854156B" w14:textId="77777777" w:rsidR="00A71D72" w:rsidRDefault="00000000">
      <w:pPr>
        <w:keepNext/>
        <w:spacing w:line="360" w:lineRule="auto"/>
        <w:ind w:firstLine="709"/>
      </w:pPr>
      <w:r>
        <w:rPr>
          <w:b/>
          <w:bCs/>
        </w:rPr>
        <w:t>2.3. Совместимость форматов моделей и вычислительной среды</w:t>
      </w:r>
    </w:p>
    <w:p w14:paraId="7CC6922B" w14:textId="77777777" w:rsidR="00A71D72" w:rsidRDefault="00000000">
      <w:pPr>
        <w:spacing w:line="360" w:lineRule="auto"/>
        <w:ind w:firstLine="709"/>
        <w:jc w:val="both"/>
      </w:pPr>
      <w:r>
        <w:t xml:space="preserve">Модели, обученные в разных фреймворках, хранятся в несовместимых форматах и требуют различных сред исполнения. Решением служат открытые форматы обмена, в частности ONNX, который задаёт общее представление графа вычислений и набор операторов и позволяет переносить модели между фреймворками и средами исполнения [9]. Тем не менее версии наборов </w:t>
      </w:r>
      <w:r>
        <w:lastRenderedPageBreak/>
        <w:t>операторов и поддержка конкретных операций разными средами исполнения различаются, поэтому полная переносимость на практике достигается не всегда. Кроме того, возникают ограничения по производительности, задержкам и энергопотреблению, особенно на встраиваемых и промышленных устройствах.</w:t>
      </w:r>
    </w:p>
    <w:p w14:paraId="68E275D4" w14:textId="77777777" w:rsidR="00A71D72" w:rsidRDefault="00000000">
      <w:pPr>
        <w:keepNext/>
        <w:spacing w:line="360" w:lineRule="auto"/>
        <w:ind w:firstLine="709"/>
      </w:pPr>
      <w:r>
        <w:rPr>
          <w:b/>
          <w:bCs/>
        </w:rPr>
        <w:t>2.4. Эксплуатационная несовместимость</w:t>
      </w:r>
    </w:p>
    <w:p w14:paraId="52CF29BF" w14:textId="77777777" w:rsidR="00A71D72" w:rsidRDefault="00000000">
      <w:pPr>
        <w:spacing w:line="360" w:lineRule="auto"/>
        <w:ind w:firstLine="709"/>
        <w:jc w:val="both"/>
      </w:pPr>
      <w:r>
        <w:t xml:space="preserve">Жизненный цикл ИИ-компонента отличается от цикла традиционного программного обеспечения: модель необходимо переобучать, </w:t>
      </w:r>
      <w:proofErr w:type="spellStart"/>
      <w:r>
        <w:t>версионировать</w:t>
      </w:r>
      <w:proofErr w:type="spellEnd"/>
      <w:r>
        <w:t xml:space="preserve"> вместе с данными и кодом, отслеживать её качество. Процессы эксплуатации, принятые в организации (ITIL, </w:t>
      </w:r>
      <w:proofErr w:type="spellStart"/>
      <w:r>
        <w:t>DevOps</w:t>
      </w:r>
      <w:proofErr w:type="spellEnd"/>
      <w:r>
        <w:t>), на это не рассчитаны. Концепция MLOps объединяет практики автоматизации сборки, тестирования, развёртывания и мониторинга моделей, однако её внедрение требует изменения ролей, инструментов и архитектуры [10].</w:t>
      </w:r>
    </w:p>
    <w:p w14:paraId="70815528" w14:textId="77777777" w:rsidR="00A71D72" w:rsidRDefault="00000000">
      <w:pPr>
        <w:spacing w:line="360" w:lineRule="auto"/>
        <w:ind w:firstLine="709"/>
        <w:jc w:val="both"/>
      </w:pPr>
      <w:r>
        <w:t>Отдельный аспект эксплуатационной совместимости — информационная безопасность. ИИ-компонент расширяет поверхность атаки: появляются риски искажения обучающих данных, подбора входных данных, вызывающих ошибочный ответ модели, и извлечения информации о модели через её интерфейс. Существующие средства защиты периметра на такие угрозы не рассчитаны, поэтому приходится дорабатывать политики доступа, журналирование и защиту данных на всех этапах жизненного цикла.</w:t>
      </w:r>
    </w:p>
    <w:p w14:paraId="2CACD864" w14:textId="77777777" w:rsidR="00A71D72" w:rsidRDefault="00000000">
      <w:pPr>
        <w:keepNext/>
        <w:spacing w:line="360" w:lineRule="auto"/>
        <w:ind w:firstLine="709"/>
      </w:pPr>
      <w:r>
        <w:rPr>
          <w:b/>
          <w:bCs/>
        </w:rPr>
        <w:t>2.5. Нормативная и организационная несовместимость</w:t>
      </w:r>
    </w:p>
    <w:p w14:paraId="7DF64DB7" w14:textId="77777777" w:rsidR="00A71D72" w:rsidRDefault="00000000">
      <w:pPr>
        <w:spacing w:line="360" w:lineRule="auto"/>
        <w:ind w:firstLine="709"/>
        <w:jc w:val="both"/>
      </w:pPr>
      <w:r>
        <w:t xml:space="preserve">Интегрируемая ИИ-система должна соответствовать требованиям безопасности, прозрачности и подотчётности, которые для ИТ-системы ранее не предъявлялись. Рамочный документ NIST AI RMF 1.0 предлагает управлять рисками ИИ через функции управления, картирования, измерения и обработки рисков [11]. Стандарт ISO/IEC 42001:2023 устанавливает требования к системе менеджмента ИИ в организации [12]. Регламент Европейского союза 2024/1689 вводит подход, основанный на оценке риска, и предъявляет к системам высокого риска требования по документированию, ведению журналов событий и человеческому надзору [13]. Таким образом, при </w:t>
      </w:r>
      <w:r>
        <w:lastRenderedPageBreak/>
        <w:t>интеграции необходимо согласовывать техническую архитектуру с нормативными требованиями, что нередко приводит к необходимости переработки существующих процессов.</w:t>
      </w:r>
    </w:p>
    <w:p w14:paraId="6D105A11" w14:textId="77777777" w:rsidR="00A71D72" w:rsidRDefault="00000000">
      <w:pPr>
        <w:keepNext/>
        <w:spacing w:line="360" w:lineRule="auto"/>
        <w:jc w:val="center"/>
      </w:pPr>
      <w:r>
        <w:rPr>
          <w:b/>
          <w:bCs/>
        </w:rPr>
        <w:t>3. Практические подходы к снижению рисков несовместимости</w:t>
      </w:r>
    </w:p>
    <w:p w14:paraId="275C304B" w14:textId="77777777" w:rsidR="00A71D72" w:rsidRDefault="00000000">
      <w:pPr>
        <w:spacing w:line="360" w:lineRule="auto"/>
        <w:ind w:firstLine="709"/>
        <w:jc w:val="both"/>
      </w:pPr>
      <w:r>
        <w:t>Первым приёмом служит выделение слоя адаптации. ИИ-компонент размещается как отдельный сервис за шлюзом программного интерфейса, а адаптеры преобразуют данные унаследованной системы в формат, ожидаемый моделью, и результат работы модели — обратно в формат системы. Такой подход, опирающийся на классические шаблоны интеграции [5], изолирует действующую систему от замены модели или фреймворка. Важно заранее описать формальный контракт интерфейса: схему входных и выходных данных, допустимые диапазоны значений, версию, требования к времени отклика — и автоматически проверять его соблюдение контрактными тестами. Явный учёт всех потребителей выходных данных модели, а также контроль доступа к ним позволяют снизить риск появления неучтённых зависимостей, о которых говорится в работе [2].</w:t>
      </w:r>
    </w:p>
    <w:p w14:paraId="16B5794D" w14:textId="77777777" w:rsidR="00A71D72" w:rsidRDefault="00000000">
      <w:pPr>
        <w:spacing w:line="360" w:lineRule="auto"/>
        <w:ind w:firstLine="709"/>
        <w:jc w:val="both"/>
      </w:pPr>
      <w:r>
        <w:t>Вторым приёмом является поэтапное внедрение. На первом этапе модель работает в «теневом» режиме: она получает реальные данные, но её результаты не влияют на бизнес-процесс и используются только для сравнения с действующей логикой. Затем применяется ограниченное (канареечное) развёртывание на части потоков или пользователей. Обязательным элементом остаётся резервный режим: при недоступности модели или низкой уверенности в её ответе система возвращается к прежним правилам или передаёт случай на ручную обработку. Такая схема ограничивает влияние ИИ на критичные процессы и согласуется с требованием человеческого надзора для систем высокого риска [13].</w:t>
      </w:r>
    </w:p>
    <w:p w14:paraId="4AFB4076" w14:textId="77777777" w:rsidR="00A71D72" w:rsidRDefault="00000000">
      <w:pPr>
        <w:spacing w:line="360" w:lineRule="auto"/>
        <w:ind w:firstLine="709"/>
        <w:jc w:val="both"/>
      </w:pPr>
      <w:r>
        <w:t xml:space="preserve">Третий приём — обеспечение воспроизводимости и мониторинга. Версии данных, кода, параметров обучения и программной среды фиксируются и связываются между собой; модели хранятся в реестре, а среда исполнения упаковывается в контейнеры. Автоматические тесты на регрессию </w:t>
      </w:r>
      <w:r>
        <w:lastRenderedPageBreak/>
        <w:t>качества и мониторинг дрейфа данных, как это предлагается в практиках MLOps [10], позволяют своевременно обнаруживать нарушение совместимости после обновлений любой из частей системы.</w:t>
      </w:r>
    </w:p>
    <w:p w14:paraId="23E4BF44" w14:textId="77777777" w:rsidR="00A71D72" w:rsidRDefault="00000000">
      <w:pPr>
        <w:spacing w:line="360" w:lineRule="auto"/>
        <w:ind w:firstLine="709"/>
        <w:jc w:val="both"/>
      </w:pPr>
      <w:r>
        <w:t>Наконец, важна организационная составляющая. До начала интеграции необходимо согласовать требования ИТ-службы, службы информационной безопасности, владельцев бизнес-процессов и специалистов по данным, а также провести оценку рисков с использованием общепринятых методик [11]. Практика показывает, что именно несогласованность ожиданий между этими группами становится одной из частых причин срыва внедрения [6].</w:t>
      </w:r>
    </w:p>
    <w:p w14:paraId="198A69B9" w14:textId="77777777" w:rsidR="00A71D72" w:rsidRDefault="00000000">
      <w:pPr>
        <w:keepNext/>
        <w:spacing w:line="360" w:lineRule="auto"/>
        <w:jc w:val="center"/>
      </w:pPr>
      <w:r>
        <w:rPr>
          <w:b/>
          <w:bCs/>
        </w:rPr>
        <w:t>4. Роль стандартизации в обеспечении совместимости</w:t>
      </w:r>
    </w:p>
    <w:p w14:paraId="6E06A5C3" w14:textId="77777777" w:rsidR="00A71D72" w:rsidRDefault="00000000">
      <w:pPr>
        <w:spacing w:line="360" w:lineRule="auto"/>
        <w:ind w:firstLine="709"/>
        <w:jc w:val="both"/>
      </w:pPr>
      <w:r>
        <w:t>Стандартизация решает проблему совместимости на нескольких уровнях. На терминологическом уровне стандарты ISO/IEC 22989:2022 и ISO/IEC 23053:2022 задают общие понятия, а также описывают функциональные компоненты и этапы жизненного цикла ИИ-систем на основе машинного обучения [3, 14]. Единый язык позволяет согласовывать требования между заказчиком, разработчиком и интегратором.</w:t>
      </w:r>
    </w:p>
    <w:p w14:paraId="10121597" w14:textId="77777777" w:rsidR="00A71D72" w:rsidRDefault="00000000">
      <w:pPr>
        <w:spacing w:line="360" w:lineRule="auto"/>
        <w:ind w:firstLine="709"/>
        <w:jc w:val="both"/>
      </w:pPr>
      <w:r>
        <w:t>На уровне качества и доверия применяются национальные стандарты, например ГОСТ Р 59898-2021, устанавливающий общие положения по оценке качества систем ИИ [15], и ГОСТ Р 59276-2020 [4]. Они позволяют формулировать измеримые критерии приёмки ИИ-компонента перед его включением в действующую систему. На уровне документирования распространение получили карточки моделей, описывающие назначение, условия применения и характеристики качества модели [16]; вместе с документацией данных [7] они образуют основу для передачи модели между командами и организациями.</w:t>
      </w:r>
    </w:p>
    <w:p w14:paraId="20D2FD20" w14:textId="77777777" w:rsidR="00A71D72" w:rsidRDefault="00000000">
      <w:pPr>
        <w:spacing w:line="360" w:lineRule="auto"/>
        <w:ind w:firstLine="709"/>
        <w:jc w:val="both"/>
      </w:pPr>
      <w:r>
        <w:t xml:space="preserve">Важной задачей остаётся сопоставление национальных и международных требований, чтобы организация, работающая одновременно в нескольких юрисдикциях, не дублировала процедуры оценки, документирования и аудита [4, 12]. Единая система понятий и критериев </w:t>
      </w:r>
      <w:r>
        <w:lastRenderedPageBreak/>
        <w:t>сокращает затраты на согласование и упрощает взаимодействие между поставщиками ИИ-решений и владельцами существующих систем.</w:t>
      </w:r>
    </w:p>
    <w:p w14:paraId="5945821A" w14:textId="77777777" w:rsidR="00A71D72" w:rsidRDefault="00000000">
      <w:pPr>
        <w:spacing w:line="360" w:lineRule="auto"/>
        <w:ind w:firstLine="709"/>
        <w:jc w:val="both"/>
      </w:pPr>
      <w:r>
        <w:t>Вместе с тем стандартизация пока не охватывает ряд вопросов: единые программные интерфейсы вызова моделей, профили совместимости для отраслей, методики тестирования на соответствие. Перспективным направлением представляется разработка отраслевых профилей на основе действующих стандартов и их согласование с открытыми форматами обмена.</w:t>
      </w:r>
    </w:p>
    <w:p w14:paraId="5A9CF23D" w14:textId="77777777" w:rsidR="00A71D72" w:rsidRDefault="00000000">
      <w:pPr>
        <w:keepNext/>
        <w:spacing w:line="360" w:lineRule="auto"/>
        <w:jc w:val="center"/>
      </w:pPr>
      <w:r>
        <w:rPr>
          <w:b/>
          <w:bCs/>
        </w:rPr>
        <w:t>ЗАКЛЮЧЕНИЕ</w:t>
      </w:r>
    </w:p>
    <w:p w14:paraId="52060359" w14:textId="77777777" w:rsidR="00A71D72" w:rsidRDefault="00000000">
      <w:pPr>
        <w:spacing w:line="360" w:lineRule="auto"/>
        <w:ind w:firstLine="709"/>
        <w:jc w:val="both"/>
      </w:pPr>
      <w:r>
        <w:t>Интеграция ИИ в существующие системы сопряжена с проблемами совместимости на архитектурном, информационном, технологическом, эксплуатационном и нормативном уровнях. Их источником служат вероятностная природа моделей, зависимость от данных, различие жизненных циклов и недостаточная унификация интерфейсов. Для снижения рисков необходимо опираться на международные и национальные стандарты, использовать открытые форматы обмена моделями, внедрять практики MLOps и документировать данные и модели. Дальнейшее развитие стандартизации должно быть направлено на унификацию интерфейсов и методик проверки совместимости.</w:t>
      </w:r>
    </w:p>
    <w:p w14:paraId="4BBB4A78" w14:textId="77777777" w:rsidR="00A71D72" w:rsidRDefault="00000000">
      <w:r>
        <w:br w:type="page"/>
      </w:r>
    </w:p>
    <w:p w14:paraId="6B24AEF7" w14:textId="77777777" w:rsidR="00A71D72" w:rsidRPr="00694F0B" w:rsidRDefault="00000000">
      <w:pPr>
        <w:keepNext/>
        <w:spacing w:line="360" w:lineRule="auto"/>
        <w:jc w:val="center"/>
        <w:rPr>
          <w:lang w:val="en-US"/>
        </w:rPr>
      </w:pPr>
      <w:r>
        <w:rPr>
          <w:b/>
          <w:bCs/>
        </w:rPr>
        <w:lastRenderedPageBreak/>
        <w:t>СПИСОК</w:t>
      </w:r>
      <w:r w:rsidRPr="00694F0B">
        <w:rPr>
          <w:b/>
          <w:bCs/>
          <w:lang w:val="en-US"/>
        </w:rPr>
        <w:t xml:space="preserve"> </w:t>
      </w:r>
      <w:r>
        <w:rPr>
          <w:b/>
          <w:bCs/>
        </w:rPr>
        <w:t>ИСПОЛЬЗОВАННОЙ</w:t>
      </w:r>
      <w:r w:rsidRPr="00694F0B">
        <w:rPr>
          <w:b/>
          <w:bCs/>
          <w:lang w:val="en-US"/>
        </w:rPr>
        <w:t xml:space="preserve"> </w:t>
      </w:r>
      <w:r>
        <w:rPr>
          <w:b/>
          <w:bCs/>
        </w:rPr>
        <w:t>ЛИТЕРАТУРЫ</w:t>
      </w:r>
    </w:p>
    <w:p w14:paraId="79591D9B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 xml:space="preserve">1. </w:t>
      </w:r>
      <w:proofErr w:type="spellStart"/>
      <w:r w:rsidRPr="00694F0B">
        <w:rPr>
          <w:lang w:val="en-US"/>
        </w:rPr>
        <w:t>Paleyes</w:t>
      </w:r>
      <w:proofErr w:type="spellEnd"/>
      <w:r w:rsidRPr="00694F0B">
        <w:rPr>
          <w:lang w:val="en-US"/>
        </w:rPr>
        <w:t xml:space="preserve"> A., Urma R.-G., Lawrence N. D. Challenges in Deploying Machine Learning: A Survey of Case Studies // ACM Computing Surveys. – 2022. – Vol. 55, № 6. – Art. 114. – DOI: 10.1145/3533378. – URL: https://arxiv.org/abs/2011.09926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6AD1C874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2. Sculley D., Holt G., Golovin D. et al. Hidden Technical Debt in Machine Learning Systems // Advances in Neural Information Processing Systems 28 (NIPS 2015). – 2015. – P. 2503–2511. – URL: https://proceedings.neurips.cc/paper_files/paper/2015/hash/86df7dcfd896fcaf2674f757a2463eba-Abstract.html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0D0401CE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3. ISO/IEC 22989:2022. Information technology – Artificial intelligence – Artificial intelligence concepts and terminology. – Geneva: ISO, 2022. – URL: https://www.iso.org/standard/74296.html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6DC5F275" w14:textId="77777777" w:rsidR="00A71D72" w:rsidRDefault="00000000">
      <w:pPr>
        <w:spacing w:line="360" w:lineRule="auto"/>
        <w:ind w:firstLine="709"/>
        <w:jc w:val="both"/>
      </w:pPr>
      <w:r>
        <w:t xml:space="preserve">4. ГОСТ Р 59276-2020. Системы искусственного интеллекта. Способы обеспечения доверия. Общие положения. – М.: </w:t>
      </w:r>
      <w:proofErr w:type="spellStart"/>
      <w:r>
        <w:t>Стандартинформ</w:t>
      </w:r>
      <w:proofErr w:type="spellEnd"/>
      <w:r>
        <w:t>, 2020.</w:t>
      </w:r>
    </w:p>
    <w:p w14:paraId="5DF35C4D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 xml:space="preserve">5. </w:t>
      </w:r>
      <w:proofErr w:type="spellStart"/>
      <w:r w:rsidRPr="00694F0B">
        <w:rPr>
          <w:lang w:val="en-US"/>
        </w:rPr>
        <w:t>Hohpe</w:t>
      </w:r>
      <w:proofErr w:type="spellEnd"/>
      <w:r w:rsidRPr="00694F0B">
        <w:rPr>
          <w:lang w:val="en-US"/>
        </w:rPr>
        <w:t xml:space="preserve"> G., Woolf B. Enterprise Integration Patterns: Designing, Building, and Deploying Messaging Solutions. – Boston: Addison-Wesley, 2003. – 736 p.</w:t>
      </w:r>
    </w:p>
    <w:p w14:paraId="5C28E218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 xml:space="preserve">6. </w:t>
      </w:r>
      <w:proofErr w:type="spellStart"/>
      <w:r w:rsidRPr="00694F0B">
        <w:rPr>
          <w:lang w:val="en-US"/>
        </w:rPr>
        <w:t>Amershi</w:t>
      </w:r>
      <w:proofErr w:type="spellEnd"/>
      <w:r w:rsidRPr="00694F0B">
        <w:rPr>
          <w:lang w:val="en-US"/>
        </w:rPr>
        <w:t xml:space="preserve"> S., Begel A., Bird C. et al. Software Engineering for Machine Learning: A Case Study // Proceedings of the 41st International Conference on Software Engineering: Software Engineering in Practice (ICSE-SEIP). – IEEE, 2019. – P. 291–300. – DOI: 10.1109/ICSE-SEIP.2019.00042.</w:t>
      </w:r>
    </w:p>
    <w:p w14:paraId="277690AE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7. Gebru T., Morgenstern J., Vecchione B. et al. Datasheets for Datasets // Communications of the ACM. – 2021. – Vol. 64, № 12. – P. 86–92. – DOI: 10.1145/3458723.</w:t>
      </w:r>
    </w:p>
    <w:p w14:paraId="0A993483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8. Goodfellow I., Bengio Y., Courville A. Deep Learning. – Cambridge, MA: MIT Press, 2016. – 775 p. – URL: https://www.deeplearningbook.org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32803C24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9. ONNX: Open Neural Network Exchange [</w:t>
      </w:r>
      <w:r>
        <w:t>Электронный</w:t>
      </w:r>
      <w:r w:rsidRPr="00694F0B">
        <w:rPr>
          <w:lang w:val="en-US"/>
        </w:rPr>
        <w:t xml:space="preserve"> </w:t>
      </w:r>
      <w:r>
        <w:t>ресурс</w:t>
      </w:r>
      <w:r w:rsidRPr="00694F0B">
        <w:rPr>
          <w:lang w:val="en-US"/>
        </w:rPr>
        <w:t>]. – URL: https://onnx.ai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7C8FED8B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lastRenderedPageBreak/>
        <w:t xml:space="preserve">10. </w:t>
      </w:r>
      <w:proofErr w:type="spellStart"/>
      <w:r w:rsidRPr="00694F0B">
        <w:rPr>
          <w:lang w:val="en-US"/>
        </w:rPr>
        <w:t>Kreuzberger</w:t>
      </w:r>
      <w:proofErr w:type="spellEnd"/>
      <w:r w:rsidRPr="00694F0B">
        <w:rPr>
          <w:lang w:val="en-US"/>
        </w:rPr>
        <w:t xml:space="preserve"> D., Kühl N., Hirschl S. Machine Learning Operations (MLOps): Overview, Definition, and Architecture // IEEE Access. – 2023. – Vol. 11. – P. 31866–31879. – DOI: 10.1109/ACCESS.2023.3262138.</w:t>
      </w:r>
    </w:p>
    <w:p w14:paraId="3898DDBD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11. NIST AI 100-1. Artificial Intelligence Risk Management Framework (AI RMF 1.0). – Gaithersburg, MD: National Institute of Standards and Technology, 2023. – 48 p. – URL: https://nvlpubs.nist.gov/nistpubs/ai/NIST.AI.100-1.pdf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5B7F7965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12. ISO/IEC 42001:2023. Information technology – Artificial intelligence – Management system. – Geneva: ISO, 2023. – URL: https://www.iso.org/standard/81230.html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4460FA72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 xml:space="preserve">13. Regulation (EU) 2024/1689 of the European Parliament and of the Council of 13 June 2024 laying down </w:t>
      </w:r>
      <w:proofErr w:type="spellStart"/>
      <w:r w:rsidRPr="00694F0B">
        <w:rPr>
          <w:lang w:val="en-US"/>
        </w:rPr>
        <w:t>harmonised</w:t>
      </w:r>
      <w:proofErr w:type="spellEnd"/>
      <w:r w:rsidRPr="00694F0B">
        <w:rPr>
          <w:lang w:val="en-US"/>
        </w:rPr>
        <w:t xml:space="preserve"> rules on artificial intelligence (Artificial Intelligence Act) // Official Journal of the European Union. – 2024. – L, 2024/1689. – URL: https://eur-lex.europa.eu/eli/reg/2024/1689/oj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5774D0B0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 w:rsidRPr="00694F0B">
        <w:rPr>
          <w:lang w:val="en-US"/>
        </w:rPr>
        <w:t>14. ISO/IEC 23053:2022. Framework for Artificial Intelligence (AI) Systems Using Machine Learning (ML). – Geneva: ISO, 2022. – URL: https://www.iso.org/standard/74438.html (</w:t>
      </w:r>
      <w:r>
        <w:t>дата</w:t>
      </w:r>
      <w:r w:rsidRPr="00694F0B">
        <w:rPr>
          <w:lang w:val="en-US"/>
        </w:rPr>
        <w:t xml:space="preserve"> </w:t>
      </w:r>
      <w:r>
        <w:t>обращения</w:t>
      </w:r>
      <w:r w:rsidRPr="00694F0B">
        <w:rPr>
          <w:lang w:val="en-US"/>
        </w:rPr>
        <w:t>: 11.10.2026).</w:t>
      </w:r>
    </w:p>
    <w:p w14:paraId="3776D1A5" w14:textId="77777777" w:rsidR="00A71D72" w:rsidRDefault="00000000">
      <w:pPr>
        <w:spacing w:line="360" w:lineRule="auto"/>
        <w:ind w:firstLine="709"/>
        <w:jc w:val="both"/>
      </w:pPr>
      <w:r>
        <w:t xml:space="preserve">15. ГОСТ Р 59898-2021. Оценка качества систем искусственного интеллекта. Общие положения. – М.: </w:t>
      </w:r>
      <w:proofErr w:type="spellStart"/>
      <w:r>
        <w:t>Стандартинформ</w:t>
      </w:r>
      <w:proofErr w:type="spellEnd"/>
      <w:r>
        <w:t>, 2021.</w:t>
      </w:r>
    </w:p>
    <w:p w14:paraId="64557B62" w14:textId="77777777" w:rsidR="00A71D72" w:rsidRPr="00694F0B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16. </w:t>
      </w:r>
      <w:proofErr w:type="spellStart"/>
      <w:r>
        <w:t>Mitchell</w:t>
      </w:r>
      <w:proofErr w:type="spellEnd"/>
      <w:r>
        <w:t xml:space="preserve"> M., Wu S., </w:t>
      </w:r>
      <w:proofErr w:type="spellStart"/>
      <w:r>
        <w:t>Zaldivar</w:t>
      </w:r>
      <w:proofErr w:type="spellEnd"/>
      <w:r>
        <w:t xml:space="preserve"> A. et al. </w:t>
      </w:r>
      <w:r w:rsidRPr="00694F0B">
        <w:rPr>
          <w:lang w:val="en-US"/>
        </w:rPr>
        <w:t>Model Cards for Model Reporting // Proceedings of the Conference on Fairness, Accountability, and Transparency (FAT* '19). – ACM, 2019. – P. 220–229. – DOI: 10.1145/3287560.3287596.</w:t>
      </w:r>
    </w:p>
    <w:sectPr w:rsidR="00A71D72" w:rsidRPr="00694F0B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DD911E" w14:textId="77777777" w:rsidR="00FF05E9" w:rsidRDefault="00FF05E9">
      <w:r>
        <w:separator/>
      </w:r>
    </w:p>
  </w:endnote>
  <w:endnote w:type="continuationSeparator" w:id="0">
    <w:p w14:paraId="48012C1C" w14:textId="77777777" w:rsidR="00FF05E9" w:rsidRDefault="00FF0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E3CA2" w14:textId="77777777" w:rsidR="00A71D7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94F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CE5F81" w14:textId="77777777" w:rsidR="00A71D72" w:rsidRDefault="00A71D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40898B" w14:textId="77777777" w:rsidR="00FF05E9" w:rsidRDefault="00FF05E9">
      <w:r>
        <w:separator/>
      </w:r>
    </w:p>
  </w:footnote>
  <w:footnote w:type="continuationSeparator" w:id="0">
    <w:p w14:paraId="09CF06FD" w14:textId="77777777" w:rsidR="00FF05E9" w:rsidRDefault="00FF0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F01A4D"/>
    <w:multiLevelType w:val="hybridMultilevel"/>
    <w:tmpl w:val="51AA698E"/>
    <w:lvl w:ilvl="0" w:tplc="0854BCB2">
      <w:start w:val="1"/>
      <w:numFmt w:val="bullet"/>
      <w:lvlText w:val="●"/>
      <w:lvlJc w:val="left"/>
      <w:pPr>
        <w:ind w:left="720" w:hanging="360"/>
      </w:pPr>
    </w:lvl>
    <w:lvl w:ilvl="1" w:tplc="8D465A70">
      <w:start w:val="1"/>
      <w:numFmt w:val="bullet"/>
      <w:lvlText w:val="○"/>
      <w:lvlJc w:val="left"/>
      <w:pPr>
        <w:ind w:left="1440" w:hanging="360"/>
      </w:pPr>
    </w:lvl>
    <w:lvl w:ilvl="2" w:tplc="D910F970">
      <w:start w:val="1"/>
      <w:numFmt w:val="bullet"/>
      <w:lvlText w:val="■"/>
      <w:lvlJc w:val="left"/>
      <w:pPr>
        <w:ind w:left="2160" w:hanging="360"/>
      </w:pPr>
    </w:lvl>
    <w:lvl w:ilvl="3" w:tplc="E99A544E">
      <w:start w:val="1"/>
      <w:numFmt w:val="bullet"/>
      <w:lvlText w:val="●"/>
      <w:lvlJc w:val="left"/>
      <w:pPr>
        <w:ind w:left="2880" w:hanging="360"/>
      </w:pPr>
    </w:lvl>
    <w:lvl w:ilvl="4" w:tplc="D026D3F0">
      <w:start w:val="1"/>
      <w:numFmt w:val="bullet"/>
      <w:lvlText w:val="○"/>
      <w:lvlJc w:val="left"/>
      <w:pPr>
        <w:ind w:left="3600" w:hanging="360"/>
      </w:pPr>
    </w:lvl>
    <w:lvl w:ilvl="5" w:tplc="5F1AE2D8">
      <w:start w:val="1"/>
      <w:numFmt w:val="bullet"/>
      <w:lvlText w:val="■"/>
      <w:lvlJc w:val="left"/>
      <w:pPr>
        <w:ind w:left="4320" w:hanging="360"/>
      </w:pPr>
    </w:lvl>
    <w:lvl w:ilvl="6" w:tplc="157E073E">
      <w:start w:val="1"/>
      <w:numFmt w:val="bullet"/>
      <w:lvlText w:val="●"/>
      <w:lvlJc w:val="left"/>
      <w:pPr>
        <w:ind w:left="5040" w:hanging="360"/>
      </w:pPr>
    </w:lvl>
    <w:lvl w:ilvl="7" w:tplc="125E2320">
      <w:start w:val="1"/>
      <w:numFmt w:val="bullet"/>
      <w:lvlText w:val="●"/>
      <w:lvlJc w:val="left"/>
      <w:pPr>
        <w:ind w:left="5760" w:hanging="360"/>
      </w:pPr>
    </w:lvl>
    <w:lvl w:ilvl="8" w:tplc="037C2636">
      <w:start w:val="1"/>
      <w:numFmt w:val="bullet"/>
      <w:lvlText w:val="●"/>
      <w:lvlJc w:val="left"/>
      <w:pPr>
        <w:ind w:left="6480" w:hanging="360"/>
      </w:pPr>
    </w:lvl>
  </w:abstractNum>
  <w:num w:numId="1" w16cid:durableId="1088191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D72"/>
    <w:rsid w:val="002A7BB9"/>
    <w:rsid w:val="002C371F"/>
    <w:rsid w:val="003F4E58"/>
    <w:rsid w:val="00694F0B"/>
    <w:rsid w:val="00A71D72"/>
    <w:rsid w:val="00E72257"/>
    <w:rsid w:val="00F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E7CD"/>
  <w15:docId w15:val="{F39699C8-1557-4657-B9D2-6897EA0F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2438</Words>
  <Characters>13900</Characters>
  <Application>Microsoft Office Word</Application>
  <DocSecurity>0</DocSecurity>
  <Lines>115</Lines>
  <Paragraphs>32</Paragraphs>
  <ScaleCrop>false</ScaleCrop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Silent Rider</cp:lastModifiedBy>
  <cp:revision>6</cp:revision>
  <dcterms:created xsi:type="dcterms:W3CDTF">2026-10-11T14:51:00Z</dcterms:created>
  <dcterms:modified xsi:type="dcterms:W3CDTF">2026-10-11T15:15:00Z</dcterms:modified>
</cp:coreProperties>
</file>