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Implementation Status Addendum - October 21, 2026</w:t>
      </w:r>
    </w:p>
    <w:p>
      <w:r>
        <w:t>This addendum supersedes conflicting implementation-status statements in the report body. See docs/MVP_STATUS.md for the current implementation record and Linux validation checklist.</w:t>
      </w:r>
    </w:p>
    <w:p>
      <w:r>
        <w:t>UCB1, Thompson Sampling, epsilon-greedy, and reward computation are implemented in Python. The demo still uses simulated metrics and scheduler behavior.</w:t>
      </w:r>
    </w:p>
    <w:p>
      <w:r>
        <w:t>A Linux MVP now includes a Python procfs collector and a manager for installed foreground scx_* binaries. Linux real mode has not yet been validated on a supported Linux host; the C/perf collector and ctypes bridge remain future work.</w:t>
      </w:r>
    </w:p>
    <w:p>
      <w:r>
        <w:t>The procfs collector reports CPU utilization, context-switch rate, and average run-queue wait. It does not measure workload p99 latency, throughput, IPC, or cache misses; unavailable values are disclosed by the API and dashboard.</w:t>
      </w:r>
    </w:p>
    <w:p>
      <w:r>
        <w:t>The updated automated suite passes 13 tests using the declared requirements. Linux host integration and real sched_ext recovery remain untested.</w:t>
      </w:r>
    </w:p>
    <w:p>
      <w:r>
        <w:t>A repeatable Linux CPU microbenchmark runner now compares the default scheduler with installed scx schedulers; no benchmark results have yet been collected in this workspace.</w:t>
      </w:r>
    </w:p>
    <w:p>
      <w:pPr>
        <w:pStyle w:val="Title"/>
        <w:pageBreakBefore/>
      </w:pPr>
      <w:r>
        <w:t>AdaptiveSched Implementation Report</w:t>
      </w:r>
    </w:p>
    <w:p>
      <w:r>
        <w:rPr>
          <w:color w:val="506070"/>
          <w:sz w:val="24"/>
        </w:rPr>
        <w:t>Web demo implementation, configuration, output guide and proposal status</w:t>
      </w:r>
    </w:p>
    <w:p>
      <w:r>
        <w:t>Operating Systems Project • VIT Vellore • Review 3 output and implementation details</w:t>
      </w:r>
    </w:p>
    <w:p>
      <w:r>
        <w:t>Prepared by Aritra Ghosh (24BCE0598) and Arjun Tyagi (24BCE0605)</w:t>
      </w:r>
    </w:p>
    <w:p>
      <w:r>
        <w:t>Repository: https://github.com/SilentFURY-x/AdaptiveSched/tree/aritra</w:t>
      </w:r>
    </w:p>
    <w:p>
      <w:pPr>
        <w:pStyle w:val="Heading1"/>
        <w:keepNext/>
      </w:pPr>
      <w:r>
        <w:t>Project summary</w:t>
      </w:r>
    </w:p>
    <w:p>
      <w:r>
        <w:t>AdaptiveSched explores whether an online multi-armed bandit can choose among CPU scheduling policies as observed workload conditions change. The accompanying paper motivates this idea and proposes use of Linux sched_ext, continuous metric collection, reward-based selection and rollback when a user-defined service-level objective (SLO) is breached. The current deliverable is a runnable browser demonstration of the user-space decision and safety workflow. It deliberately runs with mock metrics and a mock scheduler manager. It does not collect measurements from the host kernel or switch the host CPU scheduler.</w:t>
      </w:r>
    </w:p>
    <w:p>
      <w:r>
        <w:t>The dashboard is useful for demonstrating the control loop, policy-learning choices, operator controls, profile-based SLO checks, watchdog state changes and audit history. All numerical output is illustrative simulation generated in the application. It is not a benchmark result and should not be presented as a measurement of Linux schedulers.</w:t>
      </w:r>
    </w:p>
    <w:p>
      <w:pPr>
        <w:pStyle w:val="Heading1"/>
        <w:keepNext/>
      </w:pPr>
      <w:r>
        <w:t>What this report covers</w:t>
      </w:r>
    </w:p>
    <w:p>
      <w:r>
        <w:t>The assignment asks for implementation details, languages and technologies, configuration, output screenshots and the GitHub link. The sections below document each implemented part and give a guided reading of the dashboard. The status table separates working demo features from work proposed in the paper/PRD but not implemented in this demo.</w:t>
      </w:r>
    </w:p>
    <w:p>
      <w:pPr>
        <w:pStyle w:val="Heading1"/>
        <w:keepNext/>
      </w:pPr>
      <w:r>
        <w:t>1. Proposal and implementation scope</w:t>
      </w:r>
    </w:p>
    <w:p>
      <w:r>
        <w:t>The research paper is a proposal and literature review. It presents a Linux system design and a methodology for evaluation; it does not report a completed real-kernel experiment. The PRD decomposes the design into a bandit/metrics module and a watchdog/dashboard/CLI module. The repository contains working Python implementations for the bandit algorithms, reward calculation, watchdog, Flask API and web console, together with mock metrics and mock switching adapters.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rPr>
        <w:tc>
          <w:tcPr>
            <w:tcW w:type="dxa" w:w="1656"/>
            <w:vAlign w:val="center"/>
            <w:shd w:fill="284968"/>
          </w:tcPr>
          <w:p>
            <w:r>
              <w:rPr>
                <w:b/>
                <w:color w:val="FFFFFF"/>
                <w:sz w:val="18"/>
              </w:rPr>
              <w:t>Area</w:t>
            </w:r>
          </w:p>
        </w:tc>
        <w:tc>
          <w:tcPr>
            <w:tcW w:type="dxa" w:w="3816"/>
            <w:vAlign w:val="center"/>
            <w:shd w:fill="284968"/>
          </w:tcPr>
          <w:p>
            <w:r>
              <w:rPr>
                <w:b/>
                <w:color w:val="FFFFFF"/>
                <w:sz w:val="18"/>
              </w:rPr>
              <w:t>What the project proposes</w:t>
            </w:r>
          </w:p>
        </w:tc>
        <w:tc>
          <w:tcPr>
            <w:tcW w:type="dxa" w:w="4464"/>
            <w:vAlign w:val="center"/>
            <w:shd w:fill="284968"/>
          </w:tcPr>
          <w:p>
            <w:r>
              <w:rPr>
                <w:b/>
                <w:color w:val="FFFFFF"/>
                <w:sz w:val="18"/>
              </w:rPr>
              <w:t>What this review demo implements</w:t>
            </w:r>
          </w:p>
        </w:tc>
      </w:tr>
      <w:tr>
        <w:trPr>
          <w:cantSplit/>
        </w:trPr>
        <w:tc>
          <w:tcPr>
            <w:tcW w:type="dxa" w:w="1656"/>
            <w:vAlign w:val="center"/>
          </w:tcPr>
          <w:p>
            <w:pPr>
              <w:spacing w:after="60"/>
            </w:pPr>
            <w:r>
              <w:rPr>
                <w:sz w:val="17"/>
              </w:rPr>
              <w:t>Metric collection</w:t>
            </w:r>
          </w:p>
        </w:tc>
        <w:tc>
          <w:tcPr>
            <w:tcW w:type="dxa" w:w="3816"/>
            <w:vAlign w:val="center"/>
          </w:tcPr>
          <w:p>
            <w:pPr>
              <w:spacing w:after="60"/>
            </w:pPr>
            <w:r>
              <w:rPr>
                <w:sz w:val="17"/>
              </w:rPr>
              <w:t>C parsing of /proc and perf_event counters, exposed through a Python bridge</w:t>
            </w:r>
          </w:p>
        </w:tc>
        <w:tc>
          <w:tcPr>
            <w:tcW w:type="dxa" w:w="4464"/>
            <w:vAlign w:val="center"/>
          </w:tcPr>
          <w:p>
            <w:pPr>
              <w:spacing w:after="60"/>
            </w:pPr>
            <w:r>
              <w:rPr>
                <w:sz w:val="17"/>
              </w:rPr>
              <w:t>Python MockMetricsCollector produces generated samples; no C collector or ctypes bridge in this build</w:t>
            </w:r>
          </w:p>
        </w:tc>
      </w:tr>
      <w:tr>
        <w:trPr>
          <w:cantSplit/>
        </w:trPr>
        <w:tc>
          <w:tcPr>
            <w:tcW w:type="dxa" w:w="1656"/>
            <w:vAlign w:val="center"/>
          </w:tcPr>
          <w:p>
            <w:pPr>
              <w:spacing w:after="60"/>
            </w:pPr>
            <w:r>
              <w:rPr>
                <w:sz w:val="17"/>
              </w:rPr>
              <w:t>Scheduler control</w:t>
            </w:r>
          </w:p>
        </w:tc>
        <w:tc>
          <w:tcPr>
            <w:tcW w:type="dxa" w:w="3816"/>
            <w:vAlign w:val="center"/>
          </w:tcPr>
          <w:p>
            <w:pPr>
              <w:spacing w:after="60"/>
            </w:pPr>
            <w:r>
              <w:rPr>
                <w:sz w:val="17"/>
              </w:rPr>
              <w:t>Load/switch sched_ext schedulers on Linux</w:t>
            </w:r>
          </w:p>
        </w:tc>
        <w:tc>
          <w:tcPr>
            <w:tcW w:type="dxa" w:w="4464"/>
            <w:vAlign w:val="center"/>
          </w:tcPr>
          <w:p>
            <w:pPr>
              <w:spacing w:after="60"/>
            </w:pPr>
            <w:r>
              <w:rPr>
                <w:sz w:val="17"/>
              </w:rPr>
              <w:t>MockSchedulerManager records simulated scheduler changes; system scheduler remains untouched</w:t>
            </w:r>
          </w:p>
        </w:tc>
      </w:tr>
      <w:tr>
        <w:trPr>
          <w:cantSplit/>
        </w:trPr>
        <w:tc>
          <w:tcPr>
            <w:tcW w:type="dxa" w:w="1656"/>
            <w:vAlign w:val="center"/>
          </w:tcPr>
          <w:p>
            <w:pPr>
              <w:spacing w:after="60"/>
            </w:pPr>
            <w:r>
              <w:rPr>
                <w:sz w:val="17"/>
              </w:rPr>
              <w:t>Learning</w:t>
            </w:r>
          </w:p>
        </w:tc>
        <w:tc>
          <w:tcPr>
            <w:tcW w:type="dxa" w:w="3816"/>
            <w:vAlign w:val="center"/>
          </w:tcPr>
          <w:p>
            <w:pPr>
              <w:spacing w:after="60"/>
            </w:pPr>
            <w:r>
              <w:rPr>
                <w:sz w:val="17"/>
              </w:rPr>
              <w:t>Online UCB1, Thompson Sampling or ε-greedy using metric-derived rewards</w:t>
            </w:r>
          </w:p>
        </w:tc>
        <w:tc>
          <w:tcPr>
            <w:tcW w:type="dxa" w:w="4464"/>
            <w:vAlign w:val="center"/>
          </w:tcPr>
          <w:p>
            <w:pPr>
              <w:spacing w:after="60"/>
            </w:pPr>
            <w:r>
              <w:rPr>
                <w:sz w:val="17"/>
              </w:rPr>
              <w:t>All three algorithm classes and reward logic are present; launcher defaults to UCB1</w:t>
            </w:r>
          </w:p>
        </w:tc>
      </w:tr>
      <w:tr>
        <w:trPr>
          <w:cantSplit/>
        </w:trPr>
        <w:tc>
          <w:tcPr>
            <w:tcW w:type="dxa" w:w="1656"/>
            <w:vAlign w:val="center"/>
          </w:tcPr>
          <w:p>
            <w:pPr>
              <w:spacing w:after="60"/>
            </w:pPr>
            <w:r>
              <w:rPr>
                <w:sz w:val="17"/>
              </w:rPr>
              <w:t>Safety</w:t>
            </w:r>
          </w:p>
        </w:tc>
        <w:tc>
          <w:tcPr>
            <w:tcW w:type="dxa" w:w="3816"/>
            <w:vAlign w:val="center"/>
          </w:tcPr>
          <w:p>
            <w:pPr>
              <w:spacing w:after="60"/>
            </w:pPr>
            <w:r>
              <w:rPr>
                <w:sz w:val="17"/>
              </w:rPr>
              <w:t>SLO watchdog, grace period, violation threshold, rollback and cooldown</w:t>
            </w:r>
          </w:p>
        </w:tc>
        <w:tc>
          <w:tcPr>
            <w:tcW w:type="dxa" w:w="4464"/>
            <w:vAlign w:val="center"/>
          </w:tcPr>
          <w:p>
            <w:pPr>
              <w:spacing w:after="60"/>
            </w:pPr>
            <w:r>
              <w:rPr>
                <w:sz w:val="17"/>
              </w:rPr>
              <w:t>Implemented in Python; rollback targets the mock default scheduler</w:t>
            </w:r>
          </w:p>
        </w:tc>
      </w:tr>
      <w:tr>
        <w:trPr>
          <w:cantSplit/>
        </w:trPr>
        <w:tc>
          <w:tcPr>
            <w:tcW w:type="dxa" w:w="1656"/>
            <w:vAlign w:val="center"/>
          </w:tcPr>
          <w:p>
            <w:pPr>
              <w:spacing w:after="60"/>
            </w:pPr>
            <w:r>
              <w:rPr>
                <w:sz w:val="17"/>
              </w:rPr>
              <w:t>User interface</w:t>
            </w:r>
          </w:p>
        </w:tc>
        <w:tc>
          <w:tcPr>
            <w:tcW w:type="dxa" w:w="3816"/>
            <w:vAlign w:val="center"/>
          </w:tcPr>
          <w:p>
            <w:pPr>
              <w:spacing w:after="60"/>
            </w:pPr>
            <w:r>
              <w:rPr>
                <w:sz w:val="17"/>
              </w:rPr>
              <w:t>Dashboard and CLI for status and control</w:t>
            </w:r>
          </w:p>
        </w:tc>
        <w:tc>
          <w:tcPr>
            <w:tcW w:type="dxa" w:w="4464"/>
            <w:vAlign w:val="center"/>
          </w:tcPr>
          <w:p>
            <w:pPr>
              <w:spacing w:after="60"/>
            </w:pPr>
            <w:r>
              <w:rPr>
                <w:sz w:val="17"/>
              </w:rPr>
              <w:t>Flask website, JSON API and CLI are present; this report focuses on the website</w:t>
            </w:r>
          </w:p>
        </w:tc>
      </w:tr>
    </w:tbl>
    <w:p>
      <w:pPr>
        <w:spacing w:after="40"/>
      </w:pPr>
    </w:p>
    <w:p>
      <w:pPr>
        <w:pStyle w:val="Heading1"/>
        <w:keepNext/>
      </w:pPr>
      <w:r>
        <w:t>2. Implemented architecture</w:t>
      </w:r>
    </w:p>
    <w:p>
      <w:r>
        <w:drawing>
          <wp:inline xmlns:a="http://schemas.openxmlformats.org/drawingml/2006/main" xmlns:pic="http://schemas.openxmlformats.org/drawingml/2006/picture">
            <wp:extent cx="6263640" cy="2380183"/>
            <wp:docPr id="1" name="Picture 1"/>
            <wp:cNvGraphicFramePr>
              <a:graphicFrameLocks noChangeAspect="1"/>
            </wp:cNvGraphicFramePr>
            <a:graphic>
              <a:graphicData uri="http://schemas.openxmlformats.org/drawingml/2006/picture">
                <pic:pic>
                  <pic:nvPicPr>
                    <pic:cNvPr id="0" name="demo_architecture.png"/>
                    <pic:cNvPicPr/>
                  </pic:nvPicPr>
                  <pic:blipFill>
                    <a:blip r:embed="rId10"/>
                    <a:stretch>
                      <a:fillRect/>
                    </a:stretch>
                  </pic:blipFill>
                  <pic:spPr>
                    <a:xfrm>
                      <a:off x="0" y="0"/>
                      <a:ext cx="6263640" cy="2380183"/>
                    </a:xfrm>
                    <a:prstGeom prst="rect"/>
                  </pic:spPr>
                </pic:pic>
              </a:graphicData>
            </a:graphic>
          </wp:inline>
        </w:drawing>
      </w:r>
    </w:p>
    <w:p>
      <w:pPr>
        <w:jc w:val="center"/>
      </w:pPr>
      <w:r>
        <w:rPr>
          <w:i/>
          <w:sz w:val="16"/>
        </w:rPr>
        <w:t>Figure 1. Data and control path implemented in the web demo.</w:t>
      </w:r>
    </w:p>
    <w:p>
      <w:r>
        <w:t>The engine runs in a background thread. Each decision cycle collects a mock sample, computes reward for the active scheduler, asks the watchdog to evaluate the current SLO, checks whether switching is permitted, performs a health check and then asks the configured bandit to select the next scheduler. When the selection changes, the mock manager updates its active-scheduler state and the event is made available to the dashboard API. The browser reads the API and refreshes the cards, charts, event stream and switch history.</w:t>
      </w:r>
    </w:p>
    <w:p>
      <w:pPr>
        <w:pStyle w:val="Heading1"/>
        <w:keepNext/>
      </w:pPr>
      <w:r>
        <w:t>3. Technology stack and languages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rPr>
        <w:tc>
          <w:tcPr>
            <w:tcW w:type="dxa" w:w="1800"/>
            <w:vAlign w:val="center"/>
            <w:shd w:fill="284968"/>
          </w:tcPr>
          <w:p>
            <w:r>
              <w:rPr>
                <w:b/>
                <w:color w:val="FFFFFF"/>
                <w:sz w:val="18"/>
              </w:rPr>
              <w:t>Layer</w:t>
            </w:r>
          </w:p>
        </w:tc>
        <w:tc>
          <w:tcPr>
            <w:tcW w:type="dxa" w:w="2520"/>
            <w:vAlign w:val="center"/>
            <w:shd w:fill="284968"/>
          </w:tcPr>
          <w:p>
            <w:r>
              <w:rPr>
                <w:b/>
                <w:color w:val="FFFFFF"/>
                <w:sz w:val="18"/>
              </w:rPr>
              <w:t>Technology / language</w:t>
            </w:r>
          </w:p>
        </w:tc>
        <w:tc>
          <w:tcPr>
            <w:tcW w:type="dxa" w:w="5616"/>
            <w:vAlign w:val="center"/>
            <w:shd w:fill="284968"/>
          </w:tcPr>
          <w:p>
            <w:r>
              <w:rPr>
                <w:b/>
                <w:color w:val="FFFFFF"/>
                <w:sz w:val="18"/>
              </w:rPr>
              <w:t>Use in the implementation</w:t>
            </w:r>
          </w:p>
        </w:tc>
      </w:tr>
      <w:tr>
        <w:trPr>
          <w:cantSplit/>
        </w:trPr>
        <w:tc>
          <w:tcPr>
            <w:tcW w:type="dxa" w:w="1800"/>
            <w:vAlign w:val="center"/>
          </w:tcPr>
          <w:p>
            <w:pPr>
              <w:spacing w:after="60"/>
            </w:pPr>
            <w:r>
              <w:rPr>
                <w:sz w:val="17"/>
              </w:rPr>
              <w:t>Core engine and algorithms</w:t>
            </w:r>
          </w:p>
        </w:tc>
        <w:tc>
          <w:tcPr>
            <w:tcW w:type="dxa" w:w="2520"/>
            <w:vAlign w:val="center"/>
          </w:tcPr>
          <w:p>
            <w:pPr>
              <w:spacing w:after="60"/>
            </w:pPr>
            <w:r>
              <w:rPr>
                <w:sz w:val="17"/>
              </w:rPr>
              <w:t>Python 3</w:t>
            </w:r>
          </w:p>
        </w:tc>
        <w:tc>
          <w:tcPr>
            <w:tcW w:type="dxa" w:w="5616"/>
            <w:vAlign w:val="center"/>
          </w:tcPr>
          <w:p>
            <w:pPr>
              <w:spacing w:after="60"/>
            </w:pPr>
            <w:r>
              <w:rPr>
                <w:sz w:val="17"/>
              </w:rPr>
              <w:t>Orchestration, typed metric/status objects, bandit algorithms, reward, watchdog, config loader and CLI</w:t>
            </w:r>
          </w:p>
        </w:tc>
      </w:tr>
      <w:tr>
        <w:trPr>
          <w:cantSplit/>
        </w:trPr>
        <w:tc>
          <w:tcPr>
            <w:tcW w:type="dxa" w:w="1800"/>
            <w:vAlign w:val="center"/>
          </w:tcPr>
          <w:p>
            <w:pPr>
              <w:spacing w:after="60"/>
            </w:pPr>
            <w:r>
              <w:rPr>
                <w:sz w:val="17"/>
              </w:rPr>
              <w:t>HTTP application</w:t>
            </w:r>
          </w:p>
        </w:tc>
        <w:tc>
          <w:tcPr>
            <w:tcW w:type="dxa" w:w="2520"/>
            <w:vAlign w:val="center"/>
          </w:tcPr>
          <w:p>
            <w:pPr>
              <w:spacing w:after="60"/>
            </w:pPr>
            <w:r>
              <w:rPr>
                <w:sz w:val="17"/>
              </w:rPr>
              <w:t>Flask (Python)</w:t>
            </w:r>
          </w:p>
        </w:tc>
        <w:tc>
          <w:tcPr>
            <w:tcW w:type="dxa" w:w="5616"/>
            <w:vAlign w:val="center"/>
          </w:tcPr>
          <w:p>
            <w:pPr>
              <w:spacing w:after="60"/>
            </w:pPr>
            <w:r>
              <w:rPr>
                <w:sz w:val="17"/>
              </w:rPr>
              <w:t>Serves the dashboard and JSON control/status endpoints</w:t>
            </w:r>
          </w:p>
        </w:tc>
      </w:tr>
      <w:tr>
        <w:trPr>
          <w:cantSplit/>
        </w:trPr>
        <w:tc>
          <w:tcPr>
            <w:tcW w:type="dxa" w:w="1800"/>
            <w:vAlign w:val="center"/>
          </w:tcPr>
          <w:p>
            <w:pPr>
              <w:spacing w:after="60"/>
            </w:pPr>
            <w:r>
              <w:rPr>
                <w:sz w:val="17"/>
              </w:rPr>
              <w:t>Dashboard structure and styling</w:t>
            </w:r>
          </w:p>
        </w:tc>
        <w:tc>
          <w:tcPr>
            <w:tcW w:type="dxa" w:w="2520"/>
            <w:vAlign w:val="center"/>
          </w:tcPr>
          <w:p>
            <w:pPr>
              <w:spacing w:after="60"/>
            </w:pPr>
            <w:r>
              <w:rPr>
                <w:sz w:val="17"/>
              </w:rPr>
              <w:t>HTML5, CSS</w:t>
            </w:r>
          </w:p>
        </w:tc>
        <w:tc>
          <w:tcPr>
            <w:tcW w:type="dxa" w:w="5616"/>
            <w:vAlign w:val="center"/>
          </w:tcPr>
          <w:p>
            <w:pPr>
              <w:spacing w:after="60"/>
            </w:pPr>
            <w:r>
              <w:rPr>
                <w:sz w:val="17"/>
              </w:rPr>
              <w:t>Accessible page structure, responsive layout, charts area, cards and controls</w:t>
            </w:r>
          </w:p>
        </w:tc>
      </w:tr>
      <w:tr>
        <w:trPr>
          <w:cantSplit/>
        </w:trPr>
        <w:tc>
          <w:tcPr>
            <w:tcW w:type="dxa" w:w="1800"/>
            <w:vAlign w:val="center"/>
          </w:tcPr>
          <w:p>
            <w:pPr>
              <w:spacing w:after="60"/>
            </w:pPr>
            <w:r>
              <w:rPr>
                <w:sz w:val="17"/>
              </w:rPr>
              <w:t>Browser behavior</w:t>
            </w:r>
          </w:p>
        </w:tc>
        <w:tc>
          <w:tcPr>
            <w:tcW w:type="dxa" w:w="2520"/>
            <w:vAlign w:val="center"/>
          </w:tcPr>
          <w:p>
            <w:pPr>
              <w:spacing w:after="60"/>
            </w:pPr>
            <w:r>
              <w:rPr>
                <w:sz w:val="17"/>
              </w:rPr>
              <w:t>JavaScript</w:t>
            </w:r>
          </w:p>
        </w:tc>
        <w:tc>
          <w:tcPr>
            <w:tcW w:type="dxa" w:w="5616"/>
            <w:vAlign w:val="center"/>
          </w:tcPr>
          <w:p>
            <w:pPr>
              <w:spacing w:after="60"/>
            </w:pPr>
            <w:r>
              <w:rPr>
                <w:sz w:val="17"/>
              </w:rPr>
              <w:t>Polls API endpoints, updates values/charts, sends control requests</w:t>
            </w:r>
          </w:p>
        </w:tc>
      </w:tr>
      <w:tr>
        <w:trPr>
          <w:cantSplit/>
        </w:trPr>
        <w:tc>
          <w:tcPr>
            <w:tcW w:type="dxa" w:w="1800"/>
            <w:vAlign w:val="center"/>
          </w:tcPr>
          <w:p>
            <w:pPr>
              <w:spacing w:after="60"/>
            </w:pPr>
            <w:r>
              <w:rPr>
                <w:sz w:val="17"/>
              </w:rPr>
              <w:t>Charts</w:t>
            </w:r>
          </w:p>
        </w:tc>
        <w:tc>
          <w:tcPr>
            <w:tcW w:type="dxa" w:w="2520"/>
            <w:vAlign w:val="center"/>
          </w:tcPr>
          <w:p>
            <w:pPr>
              <w:spacing w:after="60"/>
            </w:pPr>
            <w:r>
              <w:rPr>
                <w:sz w:val="17"/>
              </w:rPr>
              <w:t>Chart.js 4.4.1</w:t>
            </w:r>
          </w:p>
        </w:tc>
        <w:tc>
          <w:tcPr>
            <w:tcW w:type="dxa" w:w="5616"/>
            <w:vAlign w:val="center"/>
          </w:tcPr>
          <w:p>
            <w:pPr>
              <w:spacing w:after="60"/>
            </w:pPr>
            <w:r>
              <w:rPr>
                <w:sz w:val="17"/>
              </w:rPr>
              <w:t>Latency, CPU/throughput and estimated scheduler reward visualizations</w:t>
            </w:r>
          </w:p>
        </w:tc>
      </w:tr>
      <w:tr>
        <w:trPr>
          <w:cantSplit/>
        </w:trPr>
        <w:tc>
          <w:tcPr>
            <w:tcW w:type="dxa" w:w="1800"/>
            <w:vAlign w:val="center"/>
          </w:tcPr>
          <w:p>
            <w:pPr>
              <w:spacing w:after="60"/>
            </w:pPr>
            <w:r>
              <w:rPr>
                <w:sz w:val="17"/>
              </w:rPr>
              <w:t>Configuration</w:t>
            </w:r>
          </w:p>
        </w:tc>
        <w:tc>
          <w:tcPr>
            <w:tcW w:type="dxa" w:w="2520"/>
            <w:vAlign w:val="center"/>
          </w:tcPr>
          <w:p>
            <w:pPr>
              <w:spacing w:after="60"/>
            </w:pPr>
            <w:r>
              <w:rPr>
                <w:sz w:val="17"/>
              </w:rPr>
              <w:t>YAML</w:t>
            </w:r>
          </w:p>
        </w:tc>
        <w:tc>
          <w:tcPr>
            <w:tcW w:type="dxa" w:w="5616"/>
            <w:vAlign w:val="center"/>
          </w:tcPr>
          <w:p>
            <w:pPr>
              <w:spacing w:after="60"/>
            </w:pPr>
            <w:r>
              <w:rPr>
                <w:sz w:val="17"/>
              </w:rPr>
              <w:t>Main runtime settings and balanced, interactive and throughput SLO profiles</w:t>
            </w:r>
          </w:p>
        </w:tc>
      </w:tr>
      <w:tr>
        <w:trPr>
          <w:cantSplit/>
        </w:trPr>
        <w:tc>
          <w:tcPr>
            <w:tcW w:type="dxa" w:w="1800"/>
            <w:vAlign w:val="center"/>
          </w:tcPr>
          <w:p>
            <w:pPr>
              <w:spacing w:after="60"/>
            </w:pPr>
            <w:r>
              <w:rPr>
                <w:sz w:val="17"/>
              </w:rPr>
              <w:t>Dependencies</w:t>
            </w:r>
          </w:p>
        </w:tc>
        <w:tc>
          <w:tcPr>
            <w:tcW w:type="dxa" w:w="2520"/>
            <w:vAlign w:val="center"/>
          </w:tcPr>
          <w:p>
            <w:pPr>
              <w:spacing w:after="60"/>
            </w:pPr>
            <w:r>
              <w:rPr>
                <w:sz w:val="17"/>
              </w:rPr>
              <w:t>Flask, PyYAML, Rich</w:t>
            </w:r>
          </w:p>
        </w:tc>
        <w:tc>
          <w:tcPr>
            <w:tcW w:type="dxa" w:w="5616"/>
            <w:vAlign w:val="center"/>
          </w:tcPr>
          <w:p>
            <w:pPr>
              <w:spacing w:after="60"/>
            </w:pPr>
            <w:r>
              <w:rPr>
                <w:sz w:val="17"/>
              </w:rPr>
              <w:t>Web server, YAML parsing and terminal UI support (as listed in requirements.txt)</w:t>
            </w:r>
          </w:p>
        </w:tc>
      </w:tr>
    </w:tbl>
    <w:p>
      <w:pPr>
        <w:spacing w:after="40"/>
      </w:pPr>
    </w:p>
    <w:p>
      <w:r>
        <w:t>Although the paper proposes C for kernel-adjacent counters, no C source or compiled metrics library is part of this runnable demo. The dashboard uses a CDN reference for Chart.js; an internet connection may be needed for those charts to render.</w:t>
      </w:r>
    </w:p>
    <w:p>
      <w:pPr>
        <w:pStyle w:val="Heading1"/>
        <w:keepNext/>
      </w:pPr>
      <w:r>
        <w:t>4. Configuration and launch</w:t>
      </w:r>
    </w:p>
    <w:p>
      <w:r>
        <w:t>The launcher is run_demo.py. It loads config/adaptivesched.yaml, explicitly sets mock mode, selects UCB1 and selects the balanced SLO profile, starts the engine and serves Flask on 127.0.0.1:8080. The server is bound to loopback for the demo. The base YAML includes a host value of 0.0.0.0, but run_demo.py overrides it to 127.0.0.1.</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rPr>
        <w:tc>
          <w:tcPr>
            <w:tcW w:type="dxa" w:w="1944"/>
            <w:vAlign w:val="center"/>
            <w:shd w:fill="284968"/>
          </w:tcPr>
          <w:p>
            <w:r>
              <w:rPr>
                <w:b/>
                <w:color w:val="FFFFFF"/>
                <w:sz w:val="18"/>
              </w:rPr>
              <w:t>Setting</w:t>
            </w:r>
          </w:p>
        </w:tc>
        <w:tc>
          <w:tcPr>
            <w:tcW w:type="dxa" w:w="3240"/>
            <w:vAlign w:val="center"/>
            <w:shd w:fill="284968"/>
          </w:tcPr>
          <w:p>
            <w:r>
              <w:rPr>
                <w:b/>
                <w:color w:val="FFFFFF"/>
                <w:sz w:val="18"/>
              </w:rPr>
              <w:t>Demo value</w:t>
            </w:r>
          </w:p>
        </w:tc>
        <w:tc>
          <w:tcPr>
            <w:tcW w:type="dxa" w:w="4752"/>
            <w:vAlign w:val="center"/>
            <w:shd w:fill="284968"/>
          </w:tcPr>
          <w:p>
            <w:r>
              <w:rPr>
                <w:b/>
                <w:color w:val="FFFFFF"/>
                <w:sz w:val="18"/>
              </w:rPr>
              <w:t>Effect</w:t>
            </w:r>
          </w:p>
        </w:tc>
      </w:tr>
      <w:tr>
        <w:trPr>
          <w:cantSplit/>
        </w:trPr>
        <w:tc>
          <w:tcPr>
            <w:tcW w:type="dxa" w:w="1944"/>
            <w:vAlign w:val="center"/>
          </w:tcPr>
          <w:p>
            <w:pPr>
              <w:spacing w:after="60"/>
            </w:pPr>
            <w:r>
              <w:rPr>
                <w:sz w:val="17"/>
              </w:rPr>
              <w:t>Operating mode</w:t>
            </w:r>
          </w:p>
        </w:tc>
        <w:tc>
          <w:tcPr>
            <w:tcW w:type="dxa" w:w="3240"/>
            <w:vAlign w:val="center"/>
          </w:tcPr>
          <w:p>
            <w:pPr>
              <w:spacing w:after="60"/>
            </w:pPr>
            <w:r>
              <w:rPr>
                <w:sz w:val="17"/>
              </w:rPr>
              <w:t>mock</w:t>
            </w:r>
          </w:p>
        </w:tc>
        <w:tc>
          <w:tcPr>
            <w:tcW w:type="dxa" w:w="4752"/>
            <w:vAlign w:val="center"/>
          </w:tcPr>
          <w:p>
            <w:pPr>
              <w:spacing w:after="60"/>
            </w:pPr>
            <w:r>
              <w:rPr>
                <w:sz w:val="17"/>
              </w:rPr>
              <w:t>Selects mock collector and scheduler manager; real mode is rejected by the engine</w:t>
            </w:r>
          </w:p>
        </w:tc>
      </w:tr>
      <w:tr>
        <w:trPr>
          <w:cantSplit/>
        </w:trPr>
        <w:tc>
          <w:tcPr>
            <w:tcW w:type="dxa" w:w="1944"/>
            <w:vAlign w:val="center"/>
          </w:tcPr>
          <w:p>
            <w:pPr>
              <w:spacing w:after="60"/>
            </w:pPr>
            <w:r>
              <w:rPr>
                <w:sz w:val="17"/>
              </w:rPr>
              <w:t>Bandit algorithm</w:t>
            </w:r>
          </w:p>
        </w:tc>
        <w:tc>
          <w:tcPr>
            <w:tcW w:type="dxa" w:w="3240"/>
            <w:vAlign w:val="center"/>
          </w:tcPr>
          <w:p>
            <w:pPr>
              <w:spacing w:after="60"/>
            </w:pPr>
            <w:r>
              <w:rPr>
                <w:sz w:val="17"/>
              </w:rPr>
              <w:t>ucb1</w:t>
            </w:r>
          </w:p>
        </w:tc>
        <w:tc>
          <w:tcPr>
            <w:tcW w:type="dxa" w:w="4752"/>
            <w:vAlign w:val="center"/>
          </w:tcPr>
          <w:p>
            <w:pPr>
              <w:spacing w:after="60"/>
            </w:pPr>
            <w:r>
              <w:rPr>
                <w:sz w:val="17"/>
              </w:rPr>
              <w:t>Default algorithm used by launcher</w:t>
            </w:r>
          </w:p>
        </w:tc>
      </w:tr>
      <w:tr>
        <w:trPr>
          <w:cantSplit/>
        </w:trPr>
        <w:tc>
          <w:tcPr>
            <w:tcW w:type="dxa" w:w="1944"/>
            <w:vAlign w:val="center"/>
          </w:tcPr>
          <w:p>
            <w:pPr>
              <w:spacing w:after="60"/>
            </w:pPr>
            <w:r>
              <w:rPr>
                <w:sz w:val="17"/>
              </w:rPr>
              <w:t>Decision interval</w:t>
            </w:r>
          </w:p>
        </w:tc>
        <w:tc>
          <w:tcPr>
            <w:tcW w:type="dxa" w:w="3240"/>
            <w:vAlign w:val="center"/>
          </w:tcPr>
          <w:p>
            <w:pPr>
              <w:spacing w:after="60"/>
            </w:pPr>
            <w:r>
              <w:rPr>
                <w:sz w:val="17"/>
              </w:rPr>
              <w:t>5 seconds</w:t>
            </w:r>
          </w:p>
        </w:tc>
        <w:tc>
          <w:tcPr>
            <w:tcW w:type="dxa" w:w="4752"/>
            <w:vAlign w:val="center"/>
          </w:tcPr>
          <w:p>
            <w:pPr>
              <w:spacing w:after="60"/>
            </w:pPr>
            <w:r>
              <w:rPr>
                <w:sz w:val="17"/>
              </w:rPr>
              <w:t>Time between engine decision cycles</w:t>
            </w:r>
          </w:p>
        </w:tc>
      </w:tr>
      <w:tr>
        <w:trPr>
          <w:cantSplit/>
        </w:trPr>
        <w:tc>
          <w:tcPr>
            <w:tcW w:type="dxa" w:w="1944"/>
            <w:vAlign w:val="center"/>
          </w:tcPr>
          <w:p>
            <w:pPr>
              <w:spacing w:after="60"/>
            </w:pPr>
            <w:r>
              <w:rPr>
                <w:sz w:val="17"/>
              </w:rPr>
              <w:t>Metric collection interval</w:t>
            </w:r>
          </w:p>
        </w:tc>
        <w:tc>
          <w:tcPr>
            <w:tcW w:type="dxa" w:w="3240"/>
            <w:vAlign w:val="center"/>
          </w:tcPr>
          <w:p>
            <w:pPr>
              <w:spacing w:after="60"/>
            </w:pPr>
            <w:r>
              <w:rPr>
                <w:sz w:val="17"/>
              </w:rPr>
              <w:t>1 second in config</w:t>
            </w:r>
          </w:p>
        </w:tc>
        <w:tc>
          <w:tcPr>
            <w:tcW w:type="dxa" w:w="4752"/>
            <w:vAlign w:val="center"/>
          </w:tcPr>
          <w:p>
            <w:pPr>
              <w:spacing w:after="60"/>
            </w:pPr>
            <w:r>
              <w:rPr>
                <w:sz w:val="17"/>
              </w:rPr>
              <w:t>Configured sampling interval; current engine samples once per decision cycle</w:t>
            </w:r>
          </w:p>
        </w:tc>
      </w:tr>
      <w:tr>
        <w:trPr>
          <w:cantSplit/>
        </w:trPr>
        <w:tc>
          <w:tcPr>
            <w:tcW w:type="dxa" w:w="1944"/>
            <w:vAlign w:val="center"/>
          </w:tcPr>
          <w:p>
            <w:pPr>
              <w:spacing w:after="60"/>
            </w:pPr>
            <w:r>
              <w:rPr>
                <w:sz w:val="17"/>
              </w:rPr>
              <w:t>Scheduler arms</w:t>
            </w:r>
          </w:p>
        </w:tc>
        <w:tc>
          <w:tcPr>
            <w:tcW w:type="dxa" w:w="3240"/>
            <w:vAlign w:val="center"/>
          </w:tcPr>
          <w:p>
            <w:pPr>
              <w:spacing w:after="60"/>
            </w:pPr>
            <w:r>
              <w:rPr>
                <w:sz w:val="17"/>
              </w:rPr>
              <w:t>scx_rusty, scx_lavd, scx_bpfland, scx_simple, default</w:t>
            </w:r>
          </w:p>
        </w:tc>
        <w:tc>
          <w:tcPr>
            <w:tcW w:type="dxa" w:w="4752"/>
            <w:vAlign w:val="center"/>
          </w:tcPr>
          <w:p>
            <w:pPr>
              <w:spacing w:after="60"/>
            </w:pPr>
            <w:r>
              <w:rPr>
                <w:sz w:val="17"/>
              </w:rPr>
              <w:t>Names simulated as selectable alternatives</w:t>
            </w:r>
          </w:p>
        </w:tc>
      </w:tr>
      <w:tr>
        <w:trPr>
          <w:cantSplit/>
        </w:trPr>
        <w:tc>
          <w:tcPr>
            <w:tcW w:type="dxa" w:w="1944"/>
            <w:vAlign w:val="center"/>
          </w:tcPr>
          <w:p>
            <w:pPr>
              <w:spacing w:after="60"/>
            </w:pPr>
            <w:r>
              <w:rPr>
                <w:sz w:val="17"/>
              </w:rPr>
              <w:t>Active SLO</w:t>
            </w:r>
          </w:p>
        </w:tc>
        <w:tc>
          <w:tcPr>
            <w:tcW w:type="dxa" w:w="3240"/>
            <w:vAlign w:val="center"/>
          </w:tcPr>
          <w:p>
            <w:pPr>
              <w:spacing w:after="60"/>
            </w:pPr>
            <w:r>
              <w:rPr>
                <w:sz w:val="17"/>
              </w:rPr>
              <w:t>balanced</w:t>
            </w:r>
          </w:p>
        </w:tc>
        <w:tc>
          <w:tcPr>
            <w:tcW w:type="dxa" w:w="4752"/>
            <w:vAlign w:val="center"/>
          </w:tcPr>
          <w:p>
            <w:pPr>
              <w:spacing w:after="60"/>
            </w:pPr>
            <w:r>
              <w:rPr>
                <w:sz w:val="17"/>
              </w:rPr>
              <w:t>P99 latency ≤ 10,000 μs; CPU utilization ≤ 95%; context switches ≤ 80,000</w:t>
            </w:r>
          </w:p>
        </w:tc>
      </w:tr>
      <w:tr>
        <w:trPr>
          <w:cantSplit/>
        </w:trPr>
        <w:tc>
          <w:tcPr>
            <w:tcW w:type="dxa" w:w="1944"/>
            <w:vAlign w:val="center"/>
          </w:tcPr>
          <w:p>
            <w:pPr>
              <w:spacing w:after="60"/>
            </w:pPr>
            <w:r>
              <w:rPr>
                <w:sz w:val="17"/>
              </w:rPr>
              <w:t>Rollback policy</w:t>
            </w:r>
          </w:p>
        </w:tc>
        <w:tc>
          <w:tcPr>
            <w:tcW w:type="dxa" w:w="3240"/>
            <w:vAlign w:val="center"/>
          </w:tcPr>
          <w:p>
            <w:pPr>
              <w:spacing w:after="60"/>
            </w:pPr>
            <w:r>
              <w:rPr>
                <w:sz w:val="17"/>
              </w:rPr>
              <w:t>default; 3 consecutive violations; 5-second grace; 60-second cooldown</w:t>
            </w:r>
          </w:p>
        </w:tc>
        <w:tc>
          <w:tcPr>
            <w:tcW w:type="dxa" w:w="4752"/>
            <w:vAlign w:val="center"/>
          </w:tcPr>
          <w:p>
            <w:pPr>
              <w:spacing w:after="60"/>
            </w:pPr>
            <w:r>
              <w:rPr>
                <w:sz w:val="17"/>
              </w:rPr>
              <w:t>Safety behavior defined in balanced.yaml</w:t>
            </w:r>
          </w:p>
        </w:tc>
      </w:tr>
      <w:tr>
        <w:trPr>
          <w:cantSplit/>
        </w:trPr>
        <w:tc>
          <w:tcPr>
            <w:tcW w:type="dxa" w:w="1944"/>
            <w:vAlign w:val="center"/>
          </w:tcPr>
          <w:p>
            <w:pPr>
              <w:spacing w:after="60"/>
            </w:pPr>
            <w:r>
              <w:rPr>
                <w:sz w:val="17"/>
              </w:rPr>
              <w:t>Dashboard refresh</w:t>
            </w:r>
          </w:p>
        </w:tc>
        <w:tc>
          <w:tcPr>
            <w:tcW w:type="dxa" w:w="3240"/>
            <w:vAlign w:val="center"/>
          </w:tcPr>
          <w:p>
            <w:pPr>
              <w:spacing w:after="60"/>
            </w:pPr>
            <w:r>
              <w:rPr>
                <w:sz w:val="17"/>
              </w:rPr>
              <w:t>1,000 ms in config</w:t>
            </w:r>
          </w:p>
        </w:tc>
        <w:tc>
          <w:tcPr>
            <w:tcW w:type="dxa" w:w="4752"/>
            <w:vAlign w:val="center"/>
          </w:tcPr>
          <w:p>
            <w:pPr>
              <w:spacing w:after="60"/>
            </w:pPr>
            <w:r>
              <w:rPr>
                <w:sz w:val="17"/>
              </w:rPr>
              <w:t>Front-end polling interval</w:t>
            </w:r>
          </w:p>
        </w:tc>
      </w:tr>
    </w:tbl>
    <w:p>
      <w:pPr>
        <w:spacing w:after="40"/>
      </w:pPr>
    </w:p>
    <w:p>
      <w:r>
        <w:t>To start the demo, install the packages in requirements.txt in a Python environment, then run python run_demo.py from the repository root. Open http://127.0.0.1:8080/. Stop the server with Ctrl+C. Exact command:</w:t>
      </w:r>
    </w:p>
    <w:p>
      <w:r>
        <w:rPr>
          <w:rFonts w:ascii="Consolas" w:hAnsi="Consolas"/>
          <w:color w:val="244967"/>
          <w:sz w:val="18"/>
        </w:rPr>
        <w:t>python -m pip install -r requirements.txt</w:t>
        <w:br/>
        <w:t>python run_demo.py</w:t>
      </w:r>
    </w:p>
    <w:p>
      <w:pPr>
        <w:pStyle w:val="Heading1"/>
        <w:keepNext/>
      </w:pPr>
      <w:r>
        <w:t>5. Website output and feature-by-feature guide</w:t>
      </w:r>
    </w:p>
    <w:p>
      <w:r>
        <w:t>The website is a single-page scheduler control room. The live instance used for this report displays “MOCK MODE” and states that metrics are simulated and the kernel scheduler is unchanged. Values vary each time the simulation runs, so individual numbers below are readouts, not fixed expected results.</w:t>
      </w:r>
    </w:p>
    <w:p>
      <w:pPr>
        <w:pStyle w:val="Heading2"/>
        <w:keepNext/>
      </w:pPr>
      <w:r>
        <w:t>5.1 Header and agent status</w:t>
      </w:r>
    </w:p>
    <w:p>
      <w:r>
        <w:t>The top bar identifies the demo mode, selected algorithm and whether the agent is active. Uptime and cycle count indicate whether the engine loop is progressing. Pause Agent suspends new decision cycles while leaving the dashboard available; Resume Agent restarts decisions. Simulate spike triggers a mock workload burst.</w:t>
      </w:r>
    </w:p>
    <w:p>
      <w:pPr>
        <w:pStyle w:val="Heading2"/>
        <w:keepNext/>
      </w:pPr>
      <w:r>
        <w:t>5.2 Scheduler overview cards</w:t>
      </w:r>
    </w:p>
    <w:p>
      <w:r>
        <w:t>Active Scheduler shows which arm the mock manager currently considers active and lists all available scheduler names. CPU Utilization shows generated utilization. Workload Latency (P99) shows generated tail-latency and compares it to the currently active SLO limit. System Throughput shows generated operations per second, along with context switches per sample and run-queue length. SLO Compliance shows the watchdog’s current weighted score and state. These are simulation outputs, not host telemetry.</w:t>
      </w:r>
    </w:p>
    <w:p>
      <w:pPr>
        <w:pStyle w:val="Heading2"/>
        <w:keepNext/>
      </w:pPr>
      <w:r>
        <w:t>5.3 Performance charts</w:t>
      </w:r>
    </w:p>
    <w:p>
      <w:r>
        <w:t>The latency chart plots recent generated P99 values against the configured SLO ceiling. The CPU and throughput chart displays the simulated workload trend. Policy Learning plots each scheduler arm’s estimated reward and selection count, giving a visual indication of exploration and learned estimates. Chart data is populated from the engine history endpoint and refreshed by browser JavaScript.</w:t>
      </w:r>
    </w:p>
    <w:p>
      <w:pPr>
        <w:pStyle w:val="Heading2"/>
        <w:keepNext/>
      </w:pPr>
      <w:r>
        <w:t>5.4 Interactive controls and safety simulator</w:t>
      </w:r>
    </w:p>
    <w:p>
      <w:r>
        <w:t>Manual Scheduler Override buttons request a switch to one of the configured scheduler names. The SLO profile selector changes the active objective between Balanced (general purpose), Interactive (low-latency) and Throughput (batch workloads). The profile summary exposes key limits and violation threshold. The safety anomaly simulator injects a short mock spike to make SLO handling observable. It does not create load on the computer.</w:t>
      </w:r>
    </w:p>
    <w:p>
      <w:pPr>
        <w:pStyle w:val="Heading2"/>
        <w:keepNext/>
      </w:pPr>
      <w:r>
        <w:t>5.5 Watchdog state machine and event stream</w:t>
      </w:r>
    </w:p>
    <w:p>
      <w:r>
        <w:t>The watchdog moves through IDLE, GRACE_PERIOD, MONITORING, VIOLATION_DETECTED and COOLDOWN. After a switch, a grace period lets the new mock policy settle. The watchdog then checks each sample against the active profile. A successful sample resets a consecutive-violation streak. At the configured threshold, it invokes rollback to the safe default and enters cooldown. The event stream records profile changes, grace/monitoring transitions, violations and rollback outcomes. Refresh reloads recent events.</w:t>
      </w:r>
    </w:p>
    <w:p>
      <w:pPr>
        <w:pStyle w:val="Heading2"/>
        <w:keepNext/>
      </w:pPr>
      <w:r>
        <w:t>5.6 Switch and adaptation audit history</w:t>
      </w:r>
    </w:p>
    <w:p>
      <w:r>
        <w:t>The history table lists recent changes with timestamp, previous scheduler, selected scheduler, reason, latency and CPU readouts at the decision, and result. Reasons distinguish agent decisions, manual overrides and watchdog rollback. Refresh History requests the latest event history. Since the values are simulated, this table is an audit of demo decisions and does not prove kernel-level scheduler transitions.</w:t>
      </w:r>
    </w:p>
    <w:p>
      <w:pPr>
        <w:pStyle w:val="Heading1"/>
        <w:keepNext/>
      </w:pPr>
      <w:r>
        <w:t>6. Output screenshots</w:t>
      </w:r>
    </w:p>
    <w:p>
      <w:r>
        <w:t>The running dashboard at http://127.0.0.1:8080/ was inspected during preparation. Its visible output includes the mock-mode disclosure, five overview cards, three performance charts, scheduler controls, SLO selector, watchdog and event stream, and adaptation history table. The screenshots for this section are not embedded in this copy yet. Capture the running site at readable desktop resolution and add the images before VTOP upload. Use separate images for the overview, performance charts, controls/watchdog, and history table so labels remain legible; keep the mock-mode disclosure visible in the overview capture.</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rPr>
        <w:tc>
          <w:tcPr>
            <w:tcW w:type="dxa" w:w="2232"/>
            <w:vAlign w:val="center"/>
            <w:shd w:fill="284968"/>
          </w:tcPr>
          <w:p>
            <w:r>
              <w:rPr>
                <w:b/>
                <w:color w:val="FFFFFF"/>
                <w:sz w:val="18"/>
              </w:rPr>
              <w:t>Suggested capture</w:t>
            </w:r>
          </w:p>
        </w:tc>
        <w:tc>
          <w:tcPr>
            <w:tcW w:type="dxa" w:w="3816"/>
            <w:vAlign w:val="center"/>
            <w:shd w:fill="284968"/>
          </w:tcPr>
          <w:p>
            <w:r>
              <w:rPr>
                <w:b/>
                <w:color w:val="FFFFFF"/>
                <w:sz w:val="18"/>
              </w:rPr>
              <w:t>What it should show</w:t>
            </w:r>
          </w:p>
        </w:tc>
        <w:tc>
          <w:tcPr>
            <w:tcW w:type="dxa" w:w="3888"/>
            <w:vAlign w:val="center"/>
            <w:shd w:fill="284968"/>
          </w:tcPr>
          <w:p>
            <w:r>
              <w:rPr>
                <w:b/>
                <w:color w:val="FFFFFF"/>
                <w:sz w:val="18"/>
              </w:rPr>
              <w:t>Explanation to give</w:t>
            </w:r>
          </w:p>
        </w:tc>
      </w:tr>
      <w:tr>
        <w:trPr>
          <w:cantSplit/>
        </w:trPr>
        <w:tc>
          <w:tcPr>
            <w:tcW w:type="dxa" w:w="2232"/>
            <w:vAlign w:val="center"/>
          </w:tcPr>
          <w:p>
            <w:pPr>
              <w:spacing w:after="60"/>
            </w:pPr>
            <w:r>
              <w:rPr>
                <w:sz w:val="17"/>
              </w:rPr>
              <w:t>Figure 2 Dashboard overview</w:t>
            </w:r>
          </w:p>
        </w:tc>
        <w:tc>
          <w:tcPr>
            <w:tcW w:type="dxa" w:w="3816"/>
            <w:vAlign w:val="center"/>
          </w:tcPr>
          <w:p>
            <w:pPr>
              <w:spacing w:after="60"/>
            </w:pPr>
            <w:r>
              <w:rPr>
                <w:sz w:val="17"/>
              </w:rPr>
              <w:t>Header, mode disclosure, KPI cards and first chart</w:t>
            </w:r>
          </w:p>
        </w:tc>
        <w:tc>
          <w:tcPr>
            <w:tcW w:type="dxa" w:w="3888"/>
            <w:vAlign w:val="center"/>
          </w:tcPr>
          <w:p>
            <w:pPr>
              <w:spacing w:after="60"/>
            </w:pPr>
            <w:r>
              <w:rPr>
                <w:sz w:val="17"/>
              </w:rPr>
              <w:t>Engine status and current generated sample; all values are simulated</w:t>
            </w:r>
          </w:p>
        </w:tc>
      </w:tr>
      <w:tr>
        <w:trPr>
          <w:cantSplit/>
        </w:trPr>
        <w:tc>
          <w:tcPr>
            <w:tcW w:type="dxa" w:w="2232"/>
            <w:vAlign w:val="center"/>
          </w:tcPr>
          <w:p>
            <w:pPr>
              <w:spacing w:after="60"/>
            </w:pPr>
            <w:r>
              <w:rPr>
                <w:sz w:val="17"/>
              </w:rPr>
              <w:t>Figure 3 Performance and learning</w:t>
            </w:r>
          </w:p>
        </w:tc>
        <w:tc>
          <w:tcPr>
            <w:tcW w:type="dxa" w:w="3816"/>
            <w:vAlign w:val="center"/>
          </w:tcPr>
          <w:p>
            <w:pPr>
              <w:spacing w:after="60"/>
            </w:pPr>
            <w:r>
              <w:rPr>
                <w:sz w:val="17"/>
              </w:rPr>
              <w:t>Latency/SLO, CPU/throughput and reward charts</w:t>
            </w:r>
          </w:p>
        </w:tc>
        <w:tc>
          <w:tcPr>
            <w:tcW w:type="dxa" w:w="3888"/>
            <w:vAlign w:val="center"/>
          </w:tcPr>
          <w:p>
            <w:pPr>
              <w:spacing w:after="60"/>
            </w:pPr>
            <w:r>
              <w:rPr>
                <w:sz w:val="17"/>
              </w:rPr>
              <w:t>Recent mock samples and per-arm bandit estimates</w:t>
            </w:r>
          </w:p>
        </w:tc>
      </w:tr>
      <w:tr>
        <w:trPr>
          <w:cantSplit/>
        </w:trPr>
        <w:tc>
          <w:tcPr>
            <w:tcW w:type="dxa" w:w="2232"/>
            <w:vAlign w:val="center"/>
          </w:tcPr>
          <w:p>
            <w:pPr>
              <w:spacing w:after="60"/>
            </w:pPr>
            <w:r>
              <w:rPr>
                <w:sz w:val="17"/>
              </w:rPr>
              <w:t>Figure 4 Controls and watchdog</w:t>
            </w:r>
          </w:p>
        </w:tc>
        <w:tc>
          <w:tcPr>
            <w:tcW w:type="dxa" w:w="3816"/>
            <w:vAlign w:val="center"/>
          </w:tcPr>
          <w:p>
            <w:pPr>
              <w:spacing w:after="60"/>
            </w:pPr>
            <w:r>
              <w:rPr>
                <w:sz w:val="17"/>
              </w:rPr>
              <w:t>Manual switch, profile selector, spike control, state machine and events</w:t>
            </w:r>
          </w:p>
        </w:tc>
        <w:tc>
          <w:tcPr>
            <w:tcW w:type="dxa" w:w="3888"/>
            <w:vAlign w:val="center"/>
          </w:tcPr>
          <w:p>
            <w:pPr>
              <w:spacing w:after="60"/>
            </w:pPr>
            <w:r>
              <w:rPr>
                <w:sz w:val="17"/>
              </w:rPr>
              <w:t>Operator controls and SLO rollback demonstration</w:t>
            </w:r>
          </w:p>
        </w:tc>
      </w:tr>
      <w:tr>
        <w:trPr>
          <w:cantSplit/>
        </w:trPr>
        <w:tc>
          <w:tcPr>
            <w:tcW w:type="dxa" w:w="2232"/>
            <w:vAlign w:val="center"/>
          </w:tcPr>
          <w:p>
            <w:pPr>
              <w:spacing w:after="60"/>
            </w:pPr>
            <w:r>
              <w:rPr>
                <w:sz w:val="17"/>
              </w:rPr>
              <w:t>Figure 5 Audit history</w:t>
            </w:r>
          </w:p>
        </w:tc>
        <w:tc>
          <w:tcPr>
            <w:tcW w:type="dxa" w:w="3816"/>
            <w:vAlign w:val="center"/>
          </w:tcPr>
          <w:p>
            <w:pPr>
              <w:spacing w:after="60"/>
            </w:pPr>
            <w:r>
              <w:rPr>
                <w:sz w:val="17"/>
              </w:rPr>
              <w:t>Switch and adaptation history table</w:t>
            </w:r>
          </w:p>
        </w:tc>
        <w:tc>
          <w:tcPr>
            <w:tcW w:type="dxa" w:w="3888"/>
            <w:vAlign w:val="center"/>
          </w:tcPr>
          <w:p>
            <w:pPr>
              <w:spacing w:after="60"/>
            </w:pPr>
            <w:r>
              <w:rPr>
                <w:sz w:val="17"/>
              </w:rPr>
              <w:t>Agent choices and simulated rollback records</w:t>
            </w:r>
          </w:p>
        </w:tc>
      </w:tr>
    </w:tbl>
    <w:p>
      <w:pPr>
        <w:spacing w:after="40"/>
      </w:pPr>
    </w:p>
    <w:p>
      <w:pPr>
        <w:pStyle w:val="Heading1"/>
        <w:keepNext/>
      </w:pPr>
      <w:r>
        <w:t>7. Interfaces and configuration files</w:t>
      </w:r>
    </w:p>
    <w:p>
      <w:r>
        <w:t>The Flask routes are declared in src/dashboard/api.py. GET /api/status returns current engine status; GET /api/metrics returns recent metric history; GET /api/switches returns scheduler-change history; GET /api/slo returns the active profile and watchdog status; GET /api/events returns watchdog events. POST /api/switch requests a manual switch; POST /api/spike activates the mock spike; POST /api/slo/set changes profile; POST /api/pause and /api/resume control the agent. The browser consumes these routes through src/dashboard/static/js/dashboard.js.</w:t>
      </w:r>
    </w:p>
    <w:p>
      <w:r>
        <w:t>Primary files: run_demo.py (launcher), config/adaptivesched.yaml (runtime options), config/slo_profiles/*.yaml (SLO limits), src/core/engine.py (decision loop), src/metrics/mock_metrics.py (generated inputs), src/agent/ (learning and reward), src/watchdog/ (safety and rollback), src/scheduler/mock_scheduler.py (simulated switches), src/dashboard/ (Flask UI/API).</w:t>
      </w:r>
    </w:p>
    <w:p>
      <w:pPr>
        <w:pStyle w:val="Heading1"/>
        <w:keepNext/>
      </w:pPr>
      <w:r>
        <w:t>8. Metric generation and interpretation</w:t>
      </w:r>
    </w:p>
    <w:p>
      <w:r>
        <w:t>MockMetricsCollector uses fixed per-scheduler means and standard deviations defined in src/metrics/mock_metrics.py. Each sample draws from a Gaussian distribution around the active scheduler profile. A sinusoidal multiplier creates a repeating workload variation, and the anomaly button applies a temporary 2.5× workload factor. Consequently, values are algorithmically generated inside the project; this demo does not load a public benchmark dataset. The named scheduler profiles are illustrative and are not sourced from a published measurement dataset.</w:t>
      </w:r>
    </w:p>
    <w:p>
      <w:r>
        <w:t>RewardComputer normalizes available latency, throughput and CPU utilization measurements and combines them with default normalized weights of 0.40, 0.35 and 0.25. Lower latency contributes a higher score, higher throughput contributes a higher score, and utilization is rewarded near the configured target. Missing latency or throughput dimensions are excluded and the remaining weights are renormalized. The resulting reward is bounded from 0 to 1. The watchdog’s compliance score is a separate calculation against the selected SLO constraints.</w:t>
      </w:r>
    </w:p>
    <w:p>
      <w:pPr>
        <w:pStyle w:val="Heading1"/>
        <w:keepNext/>
      </w:pPr>
      <w:r>
        <w:t>9. What to demonstrate to a reviewer</w:t>
      </w:r>
    </w:p>
    <w:p>
      <w:pPr>
        <w:pStyle w:val="ListBullet"/>
      </w:pPr>
      <w:r>
        <w:t>Point to the MOCK MODE badge and explain that the demo safely simulates the control path.</w:t>
      </w:r>
    </w:p>
    <w:p>
      <w:pPr>
        <w:pStyle w:val="ListBullet"/>
      </w:pPr>
      <w:r>
        <w:t>Explain that the agent sees generated samples and updates its estimate of scheduler rewards.</w:t>
      </w:r>
    </w:p>
    <w:p>
      <w:pPr>
        <w:pStyle w:val="ListBullet"/>
      </w:pPr>
      <w:r>
        <w:t>Show the latency and learning charts, then use the SLO selector to explain how the policy objective changes.</w:t>
      </w:r>
    </w:p>
    <w:p>
      <w:pPr>
        <w:pStyle w:val="ListBullet"/>
      </w:pPr>
      <w:r>
        <w:t>Use the spike control to demonstrate repeated violations, rollback to default, and cooldown in the watchdog event stream.</w:t>
      </w:r>
    </w:p>
    <w:p>
      <w:pPr>
        <w:pStyle w:val="ListBullet"/>
      </w:pPr>
      <w:r>
        <w:t>Use the history table to explain why each mock switch happened and what values were associated with it.</w:t>
      </w:r>
    </w:p>
    <w:p>
      <w:pPr>
        <w:pStyle w:val="ListBullet"/>
      </w:pPr>
      <w:r>
        <w:t>Close by stating that real /proc and perf collection plus actual sched_ext control remain outside this web demo.</w:t>
      </w:r>
    </w:p>
    <w:p>
      <w:pPr>
        <w:pStyle w:val="Heading1"/>
        <w:keepNext/>
      </w:pPr>
      <w:r>
        <w:t>10. Limitations and next implementation stage</w:t>
      </w:r>
    </w:p>
    <w:p>
      <w:r>
        <w:t>This demo must not be described as running on Linux, controlling real CPU scheduling, collecting real hardware counters or evaluating a real dataset. Real deployment still needs a Linux collector and permission-aware perf integration, a correctly validated metrics bridge, a Linux sched_ext scheduler manager, workload-specific throughput and P99 instrumentation, integration tests on a supported kernel, and benchmarking against repeatable workloads. The current metrics contain throughput and P99 fields generated by the mock collector; the config collection interval is not independently applied by the engine loop.</w:t>
      </w:r>
    </w:p>
    <w:p>
      <w:r>
        <w:t>The engine explicitly raises an error for any mode other than mock. That guard is intentional for the demo stage. No kernel state is modified by the web controls.</w:t>
      </w:r>
    </w:p>
    <w:p>
      <w:pPr>
        <w:pStyle w:val="Heading1"/>
        <w:keepNext/>
      </w:pPr>
      <w:r>
        <w:t>11. Project sources and repository</w:t>
      </w:r>
    </w:p>
    <w:p>
      <w:r>
        <w:t>Implementation status and design were checked against the repository paper.pdf and paper.tex (proposal and literature review), docs/PRD.md (version 2.0), docs/ARITRA_PLAN.md (Module A plan), config/adaptivesched.yaml, the SLO profile YAML files, and the Python, HTML, CSS and JavaScript source. The repository branch prepared for review is:</w:t>
      </w:r>
    </w:p>
    <w:p>
      <w:r>
        <w:t>https://github.com/SilentFURY-x/AdaptiveSched/tree/aritra</w:t>
      </w:r>
    </w:p>
    <w:p>
      <w:r>
        <w:t>The project repository contains the implementation. Repository visibility/access must be set so the instructor can review it. This report is intended to accompany the code and output evidence for the review submission.</w:t>
      </w:r>
    </w:p>
    <w:p>
      <w:r>
        <w:br w:type="page"/>
      </w:r>
    </w:p>
    <w:p>
      <w:pPr>
        <w:pStyle w:val="Heading1"/>
        <w:keepNext/>
      </w:pPr>
      <w:r>
        <w:t>12. Update summary and remaining work</w:t>
      </w:r>
    </w:p>
    <w:p>
      <w:r>
        <w:t>Repository revision reviewed: local branch aritra, commit a6c6e8699a10e3b7a610a59a1abe55f65269219e (short hash a6c6e86). The local origin/aritra tracking ref points to the same commit. A fresh GitHub fetch could not be completed in this environment, so this update describes the checked-out repository and does not claim to verify newer remote commits.</w:t>
      </w:r>
    </w:p>
    <w:p>
      <w:pPr>
        <w:pStyle w:val="Heading2"/>
        <w:keepNext/>
      </w:pPr>
      <w:r>
        <w:t>What has changed</w:t>
      </w:r>
    </w:p>
    <w:p>
      <w:pPr>
        <w:pStyle w:val="ListBullet"/>
      </w:pPr>
      <w:r>
        <w:t>The project branch already contains the integrated web-demo implementation: Python core engine, UCB1/Thompson/ε-greedy bandit options, reward computation, mock metrics, mock scheduler manager, SLO watchdog and rollback, Flask API, CLI, and the interactive dashboard.</w:t>
      </w:r>
    </w:p>
    <w:p>
      <w:pPr>
        <w:pStyle w:val="ListBullet"/>
      </w:pPr>
      <w:r>
        <w:t>The website exposes live demo status, scheduler and SLO controls, generated performance charts, a spike simulator, watchdog events, and switch history. The UI labels the instance as mock mode and says that the kernel scheduler is unchanged.</w:t>
      </w:r>
    </w:p>
    <w:p>
      <w:pPr>
        <w:pStyle w:val="ListBullet"/>
      </w:pPr>
      <w:r>
        <w:t>This document update adds an explicit change summary and a prioritized list that separates immediate review-submission tasks from future work outside the agreed demo scope.</w:t>
      </w:r>
    </w:p>
    <w:p>
      <w:pPr>
        <w:pStyle w:val="ListBullet"/>
      </w:pPr>
      <w:r>
        <w:t>No application source files or configuration files were changed as part of this document update. The checked-in metrics remain synthetic; a real benchmark dataset has not been connected.</w:t>
      </w:r>
    </w:p>
    <w:p>
      <w:pPr>
        <w:pStyle w:val="Heading2"/>
        <w:keepNext/>
      </w:pPr>
      <w:r>
        <w:t>Remaining work for the current review submission</w:t>
      </w:r>
    </w:p>
    <w:tbl>
      <w:tblPr>
        <w:tblStyle w:val="TableGrid"/>
        <w:tblW w:type="auto" w:w="0"/>
        <w:tblLayout w:type="fixed"/>
        <w:tblLook w:firstColumn="1" w:firstRow="1" w:lastColumn="0" w:lastRow="0" w:noHBand="0" w:noVBand="1" w:val="04A0"/>
      </w:tblPr>
      <w:tblGrid>
        <w:gridCol w:w="3331"/>
        <w:gridCol w:w="3331"/>
        <w:gridCol w:w="3331"/>
      </w:tblGrid>
      <w:tr>
        <w:trPr>
          <w:cantSplit/>
          <w:cantSplit/>
        </w:trPr>
        <w:tc>
          <w:tcPr>
            <w:tcW w:type="dxa" w:w="3331"/>
            <w:shd w:fill="284968"/>
          </w:tcPr>
          <w:p>
            <w:r>
              <w:rPr>
                <w:b/>
                <w:color w:val="FFFFFF"/>
                <w:sz w:val="18"/>
              </w:rPr>
              <w:t>Priority</w:t>
            </w:r>
          </w:p>
        </w:tc>
        <w:tc>
          <w:tcPr>
            <w:tcW w:type="dxa" w:w="3331"/>
            <w:shd w:fill="284968"/>
          </w:tcPr>
          <w:p>
            <w:r>
              <w:rPr>
                <w:b/>
                <w:color w:val="FFFFFF"/>
                <w:sz w:val="18"/>
              </w:rPr>
              <w:t>Task</w:t>
            </w:r>
          </w:p>
        </w:tc>
        <w:tc>
          <w:tcPr>
            <w:tcW w:type="dxa" w:w="3331"/>
            <w:shd w:fill="284968"/>
          </w:tcPr>
          <w:p>
            <w:r>
              <w:rPr>
                <w:b/>
                <w:color w:val="FFFFFF"/>
                <w:sz w:val="18"/>
              </w:rPr>
              <w:t>Done when</w:t>
            </w:r>
          </w:p>
        </w:tc>
      </w:tr>
      <w:tr>
        <w:trPr>
          <w:cantSplit/>
          <w:cantSplit/>
        </w:trPr>
        <w:tc>
          <w:tcPr>
            <w:tcW w:type="dxa" w:w="1440"/>
            <w:vAlign w:val="center"/>
          </w:tcPr>
          <w:p>
            <w:pPr>
              <w:spacing w:after="60"/>
            </w:pPr>
            <w:r>
              <w:rPr>
                <w:sz w:val="17"/>
              </w:rPr>
              <w:t>1 - required</w:t>
            </w:r>
          </w:p>
        </w:tc>
        <w:tc>
          <w:tcPr>
            <w:tcW w:type="dxa" w:w="4320"/>
            <w:vAlign w:val="center"/>
          </w:tcPr>
          <w:p>
            <w:pPr>
              <w:spacing w:after="60"/>
            </w:pPr>
            <w:r>
              <w:rPr>
                <w:sz w:val="17"/>
              </w:rPr>
              <w:t>Capture the running website and embed the output screenshots in Section 6. Include an overview with the MOCK MODE disclosure, performance charts, controls/watchdog, and history table.</w:t>
            </w:r>
          </w:p>
        </w:tc>
        <w:tc>
          <w:tcPr>
            <w:tcW w:type="dxa" w:w="3456"/>
            <w:vAlign w:val="center"/>
          </w:tcPr>
          <w:p>
            <w:pPr>
              <w:spacing w:after="60"/>
            </w:pPr>
            <w:r>
              <w:rPr>
                <w:sz w:val="17"/>
              </w:rPr>
              <w:t>The report contains readable captures from the actual running site, with no mock-mode disclaimer cropped out.</w:t>
            </w:r>
          </w:p>
        </w:tc>
      </w:tr>
      <w:tr>
        <w:trPr>
          <w:cantSplit/>
          <w:cantSplit/>
        </w:trPr>
        <w:tc>
          <w:tcPr>
            <w:tcW w:type="dxa" w:w="1440"/>
            <w:vAlign w:val="center"/>
          </w:tcPr>
          <w:p>
            <w:pPr>
              <w:spacing w:after="60"/>
            </w:pPr>
            <w:r>
              <w:rPr>
                <w:sz w:val="17"/>
              </w:rPr>
              <w:t>2 - required</w:t>
            </w:r>
          </w:p>
        </w:tc>
        <w:tc>
          <w:tcPr>
            <w:tcW w:type="dxa" w:w="4320"/>
            <w:vAlign w:val="center"/>
          </w:tcPr>
          <w:p>
            <w:pPr>
              <w:spacing w:after="60"/>
            </w:pPr>
            <w:r>
              <w:rPr>
                <w:sz w:val="17"/>
              </w:rPr>
              <w:t>Check that the GitHub repository is accessible to the instructor and that the aritra branch is the intended review branch.</w:t>
            </w:r>
          </w:p>
        </w:tc>
        <w:tc>
          <w:tcPr>
            <w:tcW w:type="dxa" w:w="3456"/>
            <w:vAlign w:val="center"/>
          </w:tcPr>
          <w:p>
            <w:pPr>
              <w:spacing w:after="60"/>
            </w:pPr>
            <w:r>
              <w:rPr>
                <w:sz w:val="17"/>
              </w:rPr>
              <w:t>The repository link opens for the reviewer and points to the submitted implementation.</w:t>
            </w:r>
          </w:p>
        </w:tc>
      </w:tr>
      <w:tr>
        <w:trPr>
          <w:cantSplit/>
          <w:cantSplit/>
        </w:trPr>
        <w:tc>
          <w:tcPr>
            <w:tcW w:type="dxa" w:w="1440"/>
            <w:vAlign w:val="center"/>
          </w:tcPr>
          <w:p>
            <w:pPr>
              <w:spacing w:after="60"/>
            </w:pPr>
            <w:r>
              <w:rPr>
                <w:sz w:val="17"/>
              </w:rPr>
              <w:t>3 - required</w:t>
            </w:r>
          </w:p>
        </w:tc>
        <w:tc>
          <w:tcPr>
            <w:tcW w:type="dxa" w:w="4320"/>
            <w:vAlign w:val="center"/>
          </w:tcPr>
          <w:p>
            <w:pPr>
              <w:spacing w:after="60"/>
            </w:pPr>
            <w:r>
              <w:rPr>
                <w:sz w:val="17"/>
              </w:rPr>
              <w:t>Upload the completed implementation report and output screenshots to VTOP for the relevant review.</w:t>
            </w:r>
          </w:p>
        </w:tc>
        <w:tc>
          <w:tcPr>
            <w:tcW w:type="dxa" w:w="3456"/>
            <w:vAlign w:val="center"/>
          </w:tcPr>
          <w:p>
            <w:pPr>
              <w:spacing w:after="60"/>
            </w:pPr>
            <w:r>
              <w:rPr>
                <w:sz w:val="17"/>
              </w:rPr>
              <w:t>The VTOP submission shows the report and requested output evidence.</w:t>
            </w:r>
          </w:p>
        </w:tc>
      </w:tr>
      <w:tr>
        <w:trPr>
          <w:cantSplit/>
          <w:cantSplit/>
        </w:trPr>
        <w:tc>
          <w:tcPr>
            <w:tcW w:type="dxa" w:w="1440"/>
            <w:vAlign w:val="center"/>
          </w:tcPr>
          <w:p>
            <w:pPr>
              <w:spacing w:after="60"/>
            </w:pPr>
            <w:r>
              <w:rPr>
                <w:sz w:val="17"/>
              </w:rPr>
              <w:t>4 - recommended</w:t>
            </w:r>
          </w:p>
        </w:tc>
        <w:tc>
          <w:tcPr>
            <w:tcW w:type="dxa" w:w="4320"/>
            <w:vAlign w:val="center"/>
          </w:tcPr>
          <w:p>
            <w:pPr>
              <w:spacing w:after="60"/>
            </w:pPr>
            <w:r>
              <w:rPr>
                <w:sz w:val="17"/>
              </w:rPr>
              <w:t>Run the demo from a clean environment using the README and requirements file; verify the dashboard starts and its controls return successfully.</w:t>
            </w:r>
          </w:p>
        </w:tc>
        <w:tc>
          <w:tcPr>
            <w:tcW w:type="dxa" w:w="3456"/>
            <w:vAlign w:val="center"/>
          </w:tcPr>
          <w:p>
            <w:pPr>
              <w:spacing w:after="60"/>
            </w:pPr>
            <w:r>
              <w:rPr>
                <w:sz w:val="17"/>
              </w:rPr>
              <w:t>A reviewer can reproduce the browser demo with the documented command.</w:t>
            </w:r>
          </w:p>
        </w:tc>
      </w:tr>
      <w:tr>
        <w:trPr>
          <w:cantSplit/>
          <w:cantSplit/>
        </w:trPr>
        <w:tc>
          <w:tcPr>
            <w:tcW w:type="dxa" w:w="1440"/>
            <w:vAlign w:val="center"/>
          </w:tcPr>
          <w:p>
            <w:pPr>
              <w:spacing w:after="60"/>
            </w:pPr>
            <w:r>
              <w:rPr>
                <w:sz w:val="17"/>
              </w:rPr>
              <w:t>5 - recommended</w:t>
            </w:r>
          </w:p>
        </w:tc>
        <w:tc>
          <w:tcPr>
            <w:tcW w:type="dxa" w:w="4320"/>
            <w:vAlign w:val="center"/>
          </w:tcPr>
          <w:p>
            <w:pPr>
              <w:spacing w:after="60"/>
            </w:pPr>
            <w:r>
              <w:rPr>
                <w:sz w:val="17"/>
              </w:rPr>
              <w:t>Do not describe the current generated values as measured data. If a real dataset is required for the demonstration, select a trace that contains comparable workload/performance fields, document its source and mapping, and implement a replay path.</w:t>
            </w:r>
          </w:p>
        </w:tc>
        <w:tc>
          <w:tcPr>
            <w:tcW w:type="dxa" w:w="3456"/>
            <w:vAlign w:val="center"/>
          </w:tcPr>
          <w:p>
            <w:pPr>
              <w:spacing w:after="60"/>
            </w:pPr>
            <w:r>
              <w:rPr>
                <w:sz w:val="17"/>
              </w:rPr>
              <w:t>The report and dashboard identify whether each displayed value comes from replayed data or simulation; the dataset has a cited source.</w:t>
            </w:r>
          </w:p>
        </w:tc>
      </w:tr>
    </w:tbl>
    <w:p/>
    <w:p>
      <w:pPr>
        <w:pStyle w:val="Heading2"/>
        <w:keepNext/>
      </w:pPr>
      <w:r>
        <w:t>Future work outside this web-demo checkpoint</w:t>
      </w:r>
    </w:p>
    <w:p>
      <w:r>
        <w:t>The following items belong to a later Linux implementation stage. They are not enabled by this demo and should remain described as future work until implemented and validated:</w:t>
      </w:r>
    </w:p>
    <w:p>
      <w:pPr>
        <w:pStyle w:val="ListBullet"/>
      </w:pPr>
      <w:r>
        <w:t>Build and validate the C collector for /proc and perf_event_open metrics, together with a Python bridge and clear handling for unavailable or permission-restricted counters.</w:t>
      </w:r>
    </w:p>
    <w:p>
      <w:pPr>
        <w:pStyle w:val="ListBullet"/>
      </w:pPr>
      <w:r>
        <w:t>Implement a Linux sched_ext manager that checks kernel support, scheduler availability, privileges, safe fallback behavior and failure recovery before making any host-level change.</w:t>
      </w:r>
    </w:p>
    <w:p>
      <w:pPr>
        <w:pStyle w:val="ListBullet"/>
      </w:pPr>
      <w:r>
        <w:t>Define a repeatable benchmark method and compare schedulers under controlled workloads. Record hardware, kernel version, workload, sample counts, dataset or measurement source, and uncertainty.</w:t>
      </w:r>
    </w:p>
    <w:p>
      <w:pPr>
        <w:pStyle w:val="ListBullet"/>
      </w:pPr>
      <w:r>
        <w:t>Add integration coverage on a supported Linux host and update setup, security, configuration and operational documentation for real mode.</w:t>
      </w:r>
    </w:p>
    <w:p>
      <w:r>
        <w:t>This future-work list does not change the current demo boundary. The engine explicitly rejects modes other than mock, and this report does not claim that Linux collection or real scheduler switching is complete.</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AdaptiveSched | Implementation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232B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142639"/>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Aptos Display"/>
      <w:b/>
      <w:bCs/>
      <w:color w:val="14263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eastAsia="Aptos Display"/>
      <w:b/>
      <w:color w:val="14263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AdaptiveSched Implementation Report</dc:title>
  <dc:subject>Operating Systems project implementation and web demo</dc:subject>
  <dc:creator>Aritra Ghosh and Arjun Tyagi</dc:creator>
  <cp:keywords>AdaptiveSched, operating systems, bandit, SLO, demo</cp:keywords>
  <dc:description>generated by python-docx</dc:description>
  <cp:lastModifiedBy/>
  <cp:revision>1</cp:revision>
  <dcterms:created xsi:type="dcterms:W3CDTF">2013-12-23T23:15:00Z</dcterms:created>
  <dcterms:modified xsi:type="dcterms:W3CDTF">2013-12-23T23:15:00Z</dcterms:modified>
  <cp:category/>
</cp:coreProperties>
</file>