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814C" w14:textId="63BCF6BA" w:rsidR="00625D6B" w:rsidRDefault="00625D6B" w:rsidP="00625D6B">
      <w:r>
        <w:t xml:space="preserve">Primary data utilized in this analysis was obtained from </w:t>
      </w:r>
      <w:bookmarkStart w:id="0" w:name="_GoBack"/>
      <w:bookmarkEnd w:id="0"/>
      <w:r>
        <w:t>Traylor University’s Office of Research and Development. Data included capital expenditures, operational expenditures, jobs data, payroll and benefits information, and taxes. We took a decidedly conservative approach in the analysis and determination of key findings. Not unexpectedly, study findings compare favorably to other top universities in the country.</w:t>
      </w:r>
    </w:p>
    <w:p w14:paraId="5147814D" w14:textId="63DC24F4" w:rsidR="00625D6B" w:rsidRDefault="00625D6B" w:rsidP="00625D6B">
      <w:r>
        <w:t>Overall, this study suggests that the University stabilizes and strengthens the local and statewide tax base through its local spending as well as direct and indirect support of jobs. As an integral part of the state’s economy, Traylor University generates revenue, jobs, and spending. In fact, state and local government revenues attributable to the presence of Traylo</w:t>
      </w:r>
      <w:r w:rsidR="000F5903">
        <w:t>r University totaled over $422.</w:t>
      </w:r>
      <w:r>
        <w:t>4 million in the previous fiscal year. State and local governments throughout Nebraska all received tax revenues that were University-related.</w:t>
      </w:r>
    </w:p>
    <w:sectPr w:rsidR="0062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6B"/>
    <w:rsid w:val="000F5903"/>
    <w:rsid w:val="0026507A"/>
    <w:rsid w:val="00265D15"/>
    <w:rsid w:val="0027008E"/>
    <w:rsid w:val="003834F4"/>
    <w:rsid w:val="003F6A39"/>
    <w:rsid w:val="00404052"/>
    <w:rsid w:val="00473A3B"/>
    <w:rsid w:val="00625D6B"/>
    <w:rsid w:val="009822F2"/>
    <w:rsid w:val="00A422CA"/>
    <w:rsid w:val="00B04F6D"/>
    <w:rsid w:val="00B62650"/>
    <w:rsid w:val="00CB06B2"/>
    <w:rsid w:val="00D957F2"/>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814C"/>
  <w15:docId w15:val="{602FA1F6-F1A5-4258-BD05-78F0F746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D6B"/>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Exploring Series</cp:lastModifiedBy>
  <cp:revision>2</cp:revision>
  <dcterms:created xsi:type="dcterms:W3CDTF">2018-05-10T18:35:00Z</dcterms:created>
  <dcterms:modified xsi:type="dcterms:W3CDTF">2018-05-10T18:35:00Z</dcterms:modified>
</cp:coreProperties>
</file>