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t>John Doe</w:t>
      </w:r>
    </w:p>
    <w:p w14:paraId="1F4900AD" w14:textId="4BC538AF" w:rsidR="00E4152D" w:rsidRDefault="00E4152D">
      <w:pPr>
        <w:rPr>
          <w:lang w:val="es-419"/>
        </w:rPr>
      </w:pPr>
      <w:r>
        <w:rPr>
          <w:lang w:val="es-419"/>
        </w:rPr>
        <w:t>image1</w:t>
      </w:r>
    </w:p>
    <w:p w14:paraId="25996FF3" w14:textId="6577F9BD" w:rsidR="00E4152D" w:rsidRPr="00E4152D" w:rsidRDefault="00E4152D">
      <w:pPr>
        <w:rPr>
          <w:lang w:val="es-419"/>
        </w:rPr>
      </w:pPr>
      <w:r>
        <w:drawing>
          <wp:inline xmlns:a="http://schemas.openxmlformats.org/drawingml/2006/main" xmlns:pic="http://schemas.openxmlformats.org/drawingml/2006/picture">
            <wp:extent cx="4876800" cy="48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