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61.png" ContentType="image/png"/>
  <Override PartName="/word/media/rId58.png" ContentType="image/png"/>
  <Override PartName="/word/media/rId39.png" ContentType="image/png"/>
  <Override PartName="/word/media/rId25.png" ContentType="image/png"/>
  <Override PartName="/word/media/rId36.png" ContentType="image/png"/>
  <Override PartName="/word/media/rId11.png" ContentType="image/png"/>
  <Override PartName="/word/media/rId31.png" ContentType="image/png"/>
  <Override PartName="/word/media/rId21.png" ContentType="image/png"/>
  <Override PartName="/word/media/rId15.png" ContentType="image/png"/>
  <Override PartName="/word/media/rId66.png" ContentType="image/png"/>
  <Override PartName="/word/media/rId53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 QAQC &amp; Analyses Descriptives - Projet PUDC</w:t>
      </w:r>
    </w:p>
    <w:p>
      <w:pPr>
        <w:pStyle w:val="Date"/>
      </w:pPr>
      <w:r>
        <w:t xml:space="preserve">15 juillet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-et-contexte"/>
    <w:p>
      <w:pPr>
        <w:pStyle w:val="Heading2"/>
      </w:pPr>
      <w:r>
        <w:t xml:space="preserve">1. Introduction et Contexte</w:t>
      </w:r>
    </w:p>
    <w:p>
      <w:pPr>
        <w:pStyle w:val="FirstParagraph"/>
      </w:pPr>
      <w:r>
        <w:t xml:space="preserve">Ce rapport présente les résultats de la validation de la qualité des données (QAQC) ainsi que les analyses descriptives de l’enquête du Programme d’Urgence de Développement Communautaire (PUDC) réalisée au Sénégal.</w:t>
      </w:r>
    </w:p>
    <w:p>
      <w:pPr>
        <w:pStyle w:val="BodyText"/>
      </w:pPr>
      <w:r>
        <w:t xml:space="preserve">Les bases analysées contiennent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df_hh</w:t>
      </w:r>
      <w:r>
        <w:rPr>
          <w:b/>
          <w:bCs/>
        </w:rPr>
        <w:t xml:space="preserve"> </w:t>
      </w:r>
      <w:r>
        <w:rPr>
          <w:b/>
          <w:bCs/>
        </w:rPr>
        <w:t xml:space="preserve">(Ménages)</w:t>
      </w:r>
      <w:r>
        <w:t xml:space="preserve"> </w:t>
      </w:r>
      <w:r>
        <w:t xml:space="preserve">: 1686 ménages observés.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df_ind</w:t>
      </w:r>
      <w:r>
        <w:rPr>
          <w:b/>
          <w:bCs/>
        </w:rPr>
        <w:t xml:space="preserve"> </w:t>
      </w:r>
      <w:r>
        <w:rPr>
          <w:b/>
          <w:bCs/>
        </w:rPr>
        <w:t xml:space="preserve">(Individus)</w:t>
      </w:r>
      <w:r>
        <w:t xml:space="preserve"> </w:t>
      </w:r>
      <w:r>
        <w:t xml:space="preserve">: 14609 individus observés.</w:t>
      </w:r>
    </w:p>
    <w:p>
      <w:r>
        <w:pict>
          <v:rect style="width:0;height:1.5pt" o:hralign="center" o:hrstd="t" o:hr="t"/>
        </w:pict>
      </w:r>
    </w:p>
    <w:bookmarkEnd w:id="9"/>
    <w:bookmarkStart w:id="10" w:name="synthèse-exécutive"/>
    <w:p>
      <w:pPr>
        <w:pStyle w:val="Heading2"/>
      </w:pPr>
      <w:r>
        <w:t xml:space="preserve">Synthèse Exécutive</w:t>
      </w:r>
    </w:p>
    <w:p>
      <w:pPr>
        <w:pStyle w:val="FirstParagraph"/>
      </w:pPr>
      <w:r>
        <w:t xml:space="preserve">Le présent rapport documente le traitement, la validation (QAQC) et les analyses descriptives de l’enquête PUDC (Programme d’Urgence de Développement Communautaire, Sénégal rural). Les principaux enseignements sont les suivants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Ménages et individus enquêtés</w:t>
      </w:r>
      <w:r>
        <w:t xml:space="preserve"> </w:t>
      </w:r>
      <w:r>
        <w:t xml:space="preserve">: 1686 ménages et 14609 individus.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Accès à l’eau potable améliorée (standard JMP)</w:t>
      </w:r>
      <w:r>
        <w:t xml:space="preserve"> </w:t>
      </w:r>
      <w:r>
        <w:t xml:space="preserve">: 47,3 %.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 de richesse (ACP, poolé MICE)</w:t>
      </w:r>
      <w:r>
        <w:t xml:space="preserve"> </w:t>
      </w:r>
      <w:r>
        <w:t xml:space="preserve">: moyenne centrée 0,00, écart-type 1,45.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Ménages ayant subi au moins un choc</w:t>
      </w:r>
      <w:r>
        <w:t xml:space="preserve"> </w:t>
      </w:r>
      <w:r>
        <w:t xml:space="preserve">: 50,1 %.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Malnutrition aiguë (déclaration d’œdèmes, 6-59 mois)</w:t>
      </w:r>
      <w:r>
        <w:t xml:space="preserve"> </w:t>
      </w:r>
      <w:r>
        <w:t xml:space="preserve">: 1,75 %.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Ménages orphelins</w:t>
      </w:r>
      <w:r>
        <w:t xml:space="preserve"> </w:t>
      </w:r>
      <w:r>
        <w:t xml:space="preserve">(sans chef déclaré dans le roster) : 91 (5,4 %).</w:t>
      </w:r>
    </w:p>
    <w:p>
      <w:pPr>
        <w:pStyle w:val="FirstParagraph"/>
      </w:pPr>
      <w:r>
        <w:t xml:space="preserve">Le rapport détaille ensuite le diagnostic des données manquantes, l’imputation MICE, les profils démographiques et de logement, puis les cartographies régionales.</w:t>
      </w:r>
    </w:p>
    <w:bookmarkEnd w:id="10"/>
    <w:bookmarkStart w:id="20" w:name="X47a5980c5f2a0573d1a10756999e7bd38f7d050"/>
    <w:p>
      <w:pPr>
        <w:pStyle w:val="Heading2"/>
      </w:pPr>
      <w:r>
        <w:t xml:space="preserve">2. Section A : Statistiques Descriptives Détaillées</w:t>
      </w:r>
    </w:p>
    <w:bookmarkStart w:id="19" w:name="Xe6c21ac9c3276431bf99449a6ed427060a014bd"/>
    <w:p>
      <w:pPr>
        <w:pStyle w:val="Heading3"/>
      </w:pPr>
      <w:r>
        <w:t xml:space="preserve">2.1 Découpage Géographique et Cartes Régionales</w:t>
      </w:r>
    </w:p>
    <w:p>
      <w:pPr>
        <w:pStyle w:val="FirstParagraph"/>
      </w:pPr>
      <w:r>
        <w:t xml:space="preserve">Le Sénégal est divisé en plusieurs régions. En couplant nos données avec les limites administratives (shapefile GADM), nous pouvons visualiser spatialement les disparités régionales.</w:t>
      </w:r>
    </w:p>
    <w:bookmarkStart w:id="14" w:name="X4d73829866befb30fd33885367244d191ed2107"/>
    <w:p>
      <w:pPr>
        <w:pStyle w:val="Heading4"/>
      </w:pPr>
      <w:r>
        <w:t xml:space="preserve">Carte 1 : Taux d’accès à l’eau potable améliorée (Standard JMP) par région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a7529354e171062c6ec65c1cefd4acbdcd31135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X8f297381fef14241340eee6459ccd2fd56b20b9"/>
    <w:p>
      <w:pPr>
        <w:pStyle w:val="Heading4"/>
      </w:pPr>
      <w:r>
        <w:t xml:space="preserve">Carte 2 : Niveau de richesse moyen (Score ACP) par région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e67ec30cda684b7772ef583d82ee22ed54bcaf1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 tableau ci-dessous synthétise les données régionales cartographiées :</w:t>
      </w:r>
    </w:p>
    <w:p>
      <w:pPr>
        <w:pStyle w:val="TableCaption"/>
      </w:pPr>
      <w:r>
        <w:t xml:space="preserve">Indicateurs clés par Région et Milieu de résidence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Indicateurs clés par Région et Milieu de résidence"/>
      </w:tblPr>
      <w:tblGrid>
        <w:gridCol w:w="1000"/>
        <w:gridCol w:w="1167"/>
        <w:gridCol w:w="666"/>
        <w:gridCol w:w="1500"/>
        <w:gridCol w:w="1333"/>
        <w:gridCol w:w="2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milieu_label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Ménages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Eau améliorée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Chocs subis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 richesse (ACP) 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DIOURBEL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KAFFRINE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KAFFRINE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KAOLACK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KAOLACK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KEDOUGOU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KEDOUGOU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SAINT 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SEDHIOU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SEDHIOU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SEDHIOU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TAMBACOUNDA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TAMBACOUNDA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ZIGUINCHOR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renseigné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ZIGUINCHOR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ZIGUINCHOR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</w:tr>
    </w:tbl>
    <w:bookmarkEnd w:id="18"/>
    <w:bookmarkEnd w:id="19"/>
    <w:bookmarkEnd w:id="20"/>
    <w:bookmarkStart w:id="30" w:name="X23e0f7d33c35f0c3f5b1234248b847e6f17d6e2"/>
    <w:p>
      <w:pPr>
        <w:pStyle w:val="Heading2"/>
      </w:pPr>
      <w:r>
        <w:t xml:space="preserve">2b. Diagnostic et mécanisme des données manquantes</w:t>
      </w:r>
    </w:p>
    <w:p>
      <w:pPr>
        <w:pStyle w:val="FirstParagraph"/>
      </w:pPr>
      <w:r>
        <w:t xml:space="preserve">Le pipeline diagnostique la complétude et le mécanisme des données manquantes avant toute imputation (non-réponse ; MCAR/MAR/MNAR). Les actifs manquants sont imputés par MICE (méthode</w:t>
      </w:r>
      <w:r>
        <w:t xml:space="preserve"> </w:t>
      </w:r>
      <w:r>
        <w:rPr>
          <w:rStyle w:val="VerbatimChar"/>
        </w:rPr>
        <w:t xml:space="preserve">logreg</w:t>
      </w:r>
      <w:r>
        <w:t xml:space="preserve">) ; le Périmètre Brachial (MUAC) étant absent à 100 % (le round ne l’a pas collecté), il est traité comme MNAR structurel et n’est pas imputé.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**Conclusion sur le mécanisme :** Les données des actifs présentent un mécanisme **MCAR** (Missing Completely At Random) . Le MUAC quant à lui est un **MNAR** structurel.</w:t>
      </w:r>
    </w:p>
    <w:bookmarkStart w:id="29" w:name="X8901b9a7580abf8457ad48fd57aaae0d13aa423"/>
    <w:p>
      <w:pPr>
        <w:pStyle w:val="Heading3"/>
      </w:pPr>
      <w:r>
        <w:t xml:space="preserve">Visualisation de la distribution et du mécanisme des données manquantes</w:t>
      </w:r>
    </w:p>
    <w:bookmarkStart w:id="24" w:name="comparaison-avant-après-imputation-mice"/>
    <w:p>
      <w:pPr>
        <w:pStyle w:val="Heading4"/>
      </w:pPr>
      <w:r>
        <w:t xml:space="preserve">Comparaison Avant / Après Imputation (MICE)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e27f86bbc7b0fd9cd2faf92f4dba588a08eec99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7c86cc1a047b0fc7daa1ea04760650bddbfdfdc"/>
    <w:p>
      <w:pPr>
        <w:pStyle w:val="Heading4"/>
      </w:pPr>
      <w:r>
        <w:t xml:space="preserve">Visualisation bivariée du mécanisme de non-réponse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65d3265255784b04e4605f2656fdda6a55a2dc6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End w:id="30"/>
    <w:bookmarkStart w:id="35" w:name="structure-démographique-de-la-population"/>
    <w:p>
      <w:pPr>
        <w:pStyle w:val="Heading2"/>
      </w:pPr>
      <w:r>
        <w:t xml:space="preserve">3. Structure Démographique de la Population</w:t>
      </w:r>
    </w:p>
    <w:p>
      <w:pPr>
        <w:pStyle w:val="TableCaption"/>
      </w:pPr>
      <w:r>
        <w:t xml:space="preserve">Caractéristiques démographiques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ractéristiques démographiqu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de femmes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Âge moyen des 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23.06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d’enfants (&lt; 5 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11.27%</w:t>
            </w:r>
          </w:p>
        </w:tc>
      </w:tr>
    </w:tbl>
    <w:bookmarkStart w:id="34" w:name="répartition-par-âge-et-sexe"/>
    <w:p>
      <w:pPr>
        <w:pStyle w:val="Heading3"/>
      </w:pPr>
      <w:r>
        <w:t xml:space="preserve">Répartition par âge et sexe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dee2862384e0993fb0efbeacc595a253eee4c4e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74" w:name="Xf061c28e976c1f344959c670032bcc83fdbc8eb"/>
    <w:p>
      <w:pPr>
        <w:pStyle w:val="Heading2"/>
      </w:pPr>
      <w:r>
        <w:t xml:space="preserve">4. Caractéristiques du Logement et Accès aux Services</w:t>
      </w:r>
    </w:p>
    <w:bookmarkStart w:id="43" w:name="accès-à-leau-potable-standard-jmp"/>
    <w:p>
      <w:pPr>
        <w:pStyle w:val="Heading3"/>
      </w:pPr>
      <w:r>
        <w:t xml:space="preserve">Accès à l’Eau Potable (Standard JMP)</w:t>
      </w:r>
    </w:p>
    <w:p>
      <w:pPr>
        <w:pStyle w:val="FirstParagraph"/>
      </w:pPr>
      <w:r>
        <w:t xml:space="preserve">L’accès à une source d’eau potable améliorée a été recalculé conformément aux standards JMP de l’OMS/UNICEF.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761dd451da584994957eba6ebf22a739d20e4c9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" w:name="accès-à-lassainissement-amélioré"/>
    <w:p>
      <w:pPr>
        <w:pStyle w:val="Heading4"/>
      </w:pPr>
      <w:r>
        <w:t xml:space="preserve">Accès à l’Assainissement Amélioré</w:t>
      </w:r>
    </w:p>
    <w:p>
      <w:pPr>
        <w:pStyle w:val="FirstParagraph"/>
      </w:pPr>
      <w:r>
        <w:t xml:space="preserve">L’assainissement est mesuré par le type de toilettes utilisées par le ménage.</w:t>
      </w:r>
    </w:p>
    <w:p>
      <w:pPr>
        <w:pStyle w:val="TableCaption"/>
      </w:pPr>
      <w:r>
        <w:t xml:space="preserve">Distribution de l’accès à l’assainissement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bution de l’accès à l’assainissem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assainissement_ameliore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Amélioré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Amélioré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485cf71a2e4f2af675f38ab17099f33d33b1706b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9" w:name="Xd6c59849d06dfb12dc45ff22cb76ce52d4ccd89"/>
    <w:p>
      <w:pPr>
        <w:pStyle w:val="Heading3"/>
      </w:pPr>
      <w:r>
        <w:t xml:space="preserve">Éducation et Caractéristiques du Chef de Ménage</w:t>
      </w:r>
    </w:p>
    <w:bookmarkStart w:id="47" w:name="scolarisation-des-individus"/>
    <w:p>
      <w:pPr>
        <w:pStyle w:val="Heading4"/>
      </w:pPr>
      <w:r>
        <w:t xml:space="preserve">Scolarisation des individus</w:t>
      </w:r>
    </w:p>
    <w:p>
      <w:pPr>
        <w:pStyle w:val="TableCaption"/>
      </w:pPr>
      <w:r>
        <w:t xml:space="preserve">Taux de scolarisation par tranche d’âge scolaire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ux de scolarisation par tranche d’âge scolair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Taux scolarisation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 (12-15 ans)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Primaire (6-11 ans)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3255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140e0b8a8b1315871134b823f20e53d9c7b912c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profil-du-chef-de-ménage"/>
    <w:p>
      <w:pPr>
        <w:pStyle w:val="Heading4"/>
      </w:pPr>
      <w:r>
        <w:t xml:space="preserve">Profil du Chef de Ménage</w:t>
      </w:r>
    </w:p>
    <w:p>
      <w:pPr>
        <w:pStyle w:val="TableCaption"/>
      </w:pPr>
      <w:r>
        <w:t xml:space="preserve">Profil sociodémographique des Chefs de Ménage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il sociodémographique des Chefs de Ménag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Âge moyen du Chef de Ménage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de femmes Chefs de Ménage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de scolarisation du Chef de Ménage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</w:tr>
    </w:tbl>
    <w:bookmarkEnd w:id="48"/>
    <w:bookmarkEnd w:id="49"/>
    <w:bookmarkStart w:id="52" w:name="caractéristiques-du-logement-et-emploi"/>
    <w:p>
      <w:pPr>
        <w:pStyle w:val="Heading3"/>
      </w:pPr>
      <w:r>
        <w:t xml:space="preserve">Caractéristiques du Logement et Emploi</w:t>
      </w:r>
    </w:p>
    <w:bookmarkStart w:id="50" w:name="matériaux-de-construction"/>
    <w:p>
      <w:pPr>
        <w:pStyle w:val="Heading4"/>
      </w:pPr>
      <w:r>
        <w:t xml:space="preserve">Matériaux de construction</w:t>
      </w:r>
    </w:p>
    <w:p>
      <w:pPr>
        <w:pStyle w:val="TableCaption"/>
      </w:pPr>
      <w:r>
        <w:t xml:space="preserve">Qualité de construction du logement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é de construction du logemen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Toit (matériaux améliorés)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Murs (matériaux améliorés)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</w:t>
            </w:r>
          </w:p>
        </w:tc>
      </w:tr>
    </w:tbl>
    <w:bookmarkEnd w:id="50"/>
    <w:bookmarkStart w:id="51" w:name="emploi-et-occupation"/>
    <w:p>
      <w:pPr>
        <w:pStyle w:val="Heading4"/>
      </w:pPr>
      <w:r>
        <w:t xml:space="preserve">Emploi et Occupation</w:t>
      </w:r>
    </w:p>
    <w:p>
      <w:pPr>
        <w:pStyle w:val="TableCaption"/>
      </w:pPr>
      <w:r>
        <w:t xml:space="preserve">Répartition de la population par statut d’occupation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épartition de la population par statut d’occup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occupation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</w:tbl>
    <w:bookmarkEnd w:id="51"/>
    <w:bookmarkEnd w:id="52"/>
    <w:bookmarkStart w:id="57" w:name="actifs-possédés-et-sources-de-revenus"/>
    <w:p>
      <w:pPr>
        <w:pStyle w:val="Heading3"/>
      </w:pPr>
      <w:r>
        <w:t xml:space="preserve">Actifs possédés et Sources de Revenus</w:t>
      </w:r>
    </w:p>
    <w:bookmarkStart w:id="56" w:name="possession-des-actifs-détail"/>
    <w:p>
      <w:pPr>
        <w:pStyle w:val="Heading4"/>
      </w:pPr>
      <w:r>
        <w:t xml:space="preserve">Possession des actifs (Détail)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f630c3a29016fc16491729b458e0dcdbd3e563d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65" w:name="Xcdd1a43f1baf159117e1f730194057bacaed1fd"/>
    <w:p>
      <w:pPr>
        <w:pStyle w:val="Heading3"/>
      </w:pPr>
      <w:r>
        <w:t xml:space="preserve">Index de Richesse (Analyse en Composantes Principales - ACP)</w:t>
      </w:r>
    </w:p>
    <w:p>
      <w:pPr>
        <w:pStyle w:val="FirstParagraph"/>
      </w:pPr>
      <w:r>
        <w:t xml:space="preserve">L’indice de richesse a été construit en utilisant une ACP sur la base de la possession de plusieurs actifs.</w:t>
      </w:r>
    </w:p>
    <w:p>
      <w:pPr>
        <w:pStyle w:val="TableCaption"/>
      </w:pPr>
      <w:r>
        <w:t xml:space="preserve">Indicateurs de richesse et conditions de logement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teurs de richesse et conditions de logemen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moyen d’actifs (non pondéré)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Richesse ACP (Moyenne)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Richesse ACP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Richesse ACP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Richesse ACP (Écart-Type)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moyen de pièces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Valeurs aberrantes détectées (Nb pièces)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46468853406931ce8d17d973ac6e38ed0acc9cf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X6753b94b28982f8df2331fa4038dc6243812065"/>
    <w:p>
      <w:pPr>
        <w:pStyle w:val="Heading4"/>
      </w:pPr>
      <w:r>
        <w:t xml:space="preserve">Relation bivariée : Taille du ménage vs Score ACP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1c2a7e41fe6f7e735bfbc66bb4712ebb8d496db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Start w:id="69" w:name="quintiles-de-richesse-méthode-dhs"/>
    <w:p>
      <w:pPr>
        <w:pStyle w:val="Heading3"/>
      </w:pPr>
      <w:r>
        <w:t xml:space="preserve">Quintiles de richesse (méthode DHS)</w:t>
      </w:r>
    </w:p>
    <w:p>
      <w:pPr>
        <w:pStyle w:val="FirstParagraph"/>
      </w:pPr>
      <w:r>
        <w:t xml:space="preserve">Les quintiles sont calculés à l’intérieur de chaque milieu (Rural/Urbain) afin de ne pas confondre richesse et milieu.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f202614af1728cba9a864f27f7f91cdba096cf7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index-de-richesse-par-région"/>
    <w:p>
      <w:pPr>
        <w:pStyle w:val="Heading3"/>
      </w:pPr>
      <w:r>
        <w:t xml:space="preserve">Index de richesse par région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C:\Users\USER\Documents\ENSAE\ISE3\traitements des données statistiques\Projet_Traitement_Analyse\PUDC_Pipeline\data\output\QAQC_Report_files/f977eb1bcefc3c09c373fbf63f3e3afa91e82e1f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End w:id="74"/>
    <w:bookmarkStart w:id="77" w:name="chocs-vulnérabilité-et-malnutrition"/>
    <w:p>
      <w:pPr>
        <w:pStyle w:val="Heading2"/>
      </w:pPr>
      <w:r>
        <w:t xml:space="preserve">5. Chocs, Vulnérabilité et Malnutrition</w:t>
      </w:r>
    </w:p>
    <w:bookmarkStart w:id="75" w:name="chocs-subis"/>
    <w:p>
      <w:pPr>
        <w:pStyle w:val="Heading3"/>
      </w:pPr>
      <w:r>
        <w:t xml:space="preserve">Chocs Subis</w:t>
      </w:r>
    </w:p>
    <w:p>
      <w:pPr>
        <w:pStyle w:val="TableCaption"/>
      </w:pPr>
      <w:r>
        <w:t xml:space="preserve">Chocs subis par les ménages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hocs subis par les ménag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Ménages ayant subi au moins un choc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moyen de chocs par ménage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</w:tbl>
    <w:bookmarkEnd w:id="75"/>
    <w:bookmarkStart w:id="76" w:name="X3d937f72fd8699be37f5c52e516288e3126d0d8"/>
    <w:p>
      <w:pPr>
        <w:pStyle w:val="Heading3"/>
      </w:pPr>
      <w:r>
        <w:t xml:space="preserve">Malnutrition Infantile (Enfants de 6 à 59 mois)</w:t>
      </w:r>
    </w:p>
    <w:p>
      <w:pPr>
        <w:pStyle w:val="FirstParagraph"/>
      </w:pPr>
      <w:r>
        <w:t xml:space="preserve">L’indicateur de malnutrition a été calculé sur la tranche d’âge cible (6-59 mois) ; comme le Périmètre Brachial (MUAC) est absent à 100 % de la collecte, il repose</w:t>
      </w:r>
      <w:r>
        <w:t xml:space="preserve"> </w:t>
      </w:r>
      <w:r>
        <w:rPr>
          <w:b/>
          <w:bCs/>
        </w:rPr>
        <w:t xml:space="preserve">uniquement sur la déclaration d’œdèmes</w:t>
      </w:r>
      <w:r>
        <w:t xml:space="preserve">.</w:t>
      </w:r>
    </w:p>
    <w:p>
      <w:pPr>
        <w:pStyle w:val="TableCaption"/>
      </w:pPr>
      <w:r>
        <w:t xml:space="preserve">Indicateurs de Malnutrition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teurs de Malnutri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Enfants (6-59 mois) éligibles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Mesures MUAC valides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de malnutrition (parmi valides)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**Note :** Aucune mesure MUAC valide n'a été trouvée pour permettre la visualisation de la malnutrition.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9cbc303703b8faff10a019fc595feee046fb4b4"/>
    <w:p>
      <w:pPr>
        <w:pStyle w:val="Heading2"/>
      </w:pPr>
      <w:r>
        <w:t xml:space="preserve">Note sur les pondérations d’échantillonnage</w:t>
      </w:r>
    </w:p>
    <w:p>
      <w:pPr>
        <w:pStyle w:val="FirstParagraph"/>
      </w:pPr>
      <w:r>
        <w:t xml:space="preserve">Le jeu de données traité ne contient aucune variable de poids d’échantillonnage. Les statistiques et graphiques de ce rapport sont donc des estimations non pondérées. Pour une enquête de type PUDC/EHCVM, les estimations (accès à l’eau, malnutrition, index de richesse) devraient être calculées via un plan d’échantillonnage.</w:t>
      </w:r>
    </w:p>
    <w:p>
      <w:pPr>
        <w:pStyle w:val="BodyText"/>
      </w:pPr>
      <w:r>
        <w:rPr>
          <w:b/>
          <w:bCs/>
        </w:rPr>
        <w:t xml:space="preserve">Exemple d’implémentation (si la variable de poids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hhweight</w:t>
      </w:r>
      <w:r>
        <w:rPr>
          <w:b/>
          <w:bCs/>
        </w:rPr>
        <w:t xml:space="preserve"> </w:t>
      </w:r>
      <w:r>
        <w:rPr>
          <w:b/>
          <w:bCs/>
        </w:rPr>
        <w:t xml:space="preserve">existait) 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rPr>
          <w:rStyle w:val="CommentTok"/>
        </w:rPr>
        <w:t xml:space="preserve"># Définition du plan de sondage (Grappe = ZD, Strate = Milieu/Région, Poids = hhweight)</w:t>
      </w:r>
      <w:r>
        <w:br/>
      </w:r>
      <w:r>
        <w:rPr>
          <w:rStyle w:val="NormalTok"/>
        </w:rPr>
        <w:t xml:space="preserve">pudc_design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zd_id,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milieu,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hhweight,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df_hh)</w:t>
      </w:r>
      <w:r>
        <w:br/>
      </w:r>
      <w:r>
        <w:br/>
      </w:r>
      <w:r>
        <w:rPr>
          <w:rStyle w:val="CommentTok"/>
        </w:rPr>
        <w:t xml:space="preserve"># Calcul d'une moyenne pondérée pour l'accès à l'eau améliorée</w:t>
      </w:r>
      <w:r>
        <w:br/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eau_amelioree,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pudc_design,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Recommandation : extraire le poids de l’export Stata via</w:t>
      </w:r>
      <w:r>
        <w:t xml:space="preserve"> </w:t>
      </w:r>
      <w:r>
        <w:rPr>
          <w:rStyle w:val="VerbatimChar"/>
        </w:rPr>
        <w:t xml:space="preserve">var_mapping.csv</w:t>
      </w:r>
      <w:r>
        <w:t xml:space="preserve"> </w:t>
      </w:r>
      <w:r>
        <w:t xml:space="preserve">et répéter les estimations pondérées (voir template EHCVM de référence).</w:t>
      </w:r>
    </w:p>
    <w:bookmarkEnd w:id="78"/>
    <w:bookmarkStart w:id="7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L’exécution du pipeline de traitement PUDC confirme la bonne reproductibilité et la qualité du nettoyage des données. Les bases finales</w:t>
      </w:r>
      <w:r>
        <w:t xml:space="preserve"> </w:t>
      </w:r>
      <w:r>
        <w:rPr>
          <w:rStyle w:val="VerbatimChar"/>
        </w:rPr>
        <w:t xml:space="preserve">Individus.csv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Menages.csv</w:t>
      </w:r>
      <w:r>
        <w:t xml:space="preserve"> </w:t>
      </w:r>
      <w:r>
        <w:t xml:space="preserve">sont désormais structurées, exemptes d’aberrations majeures, et prêtes pour des modélisations statistiques avancées.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39" Target="media/rId39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11" Target="media/rId11.png" /><Relationship Type="http://schemas.openxmlformats.org/officeDocument/2006/relationships/image" Id="rId31" Target="media/rId31.png" /><Relationship Type="http://schemas.openxmlformats.org/officeDocument/2006/relationships/image" Id="rId21" Target="media/rId21.png" /><Relationship Type="http://schemas.openxmlformats.org/officeDocument/2006/relationships/image" Id="rId15" Target="media/rId15.png" /><Relationship Type="http://schemas.openxmlformats.org/officeDocument/2006/relationships/image" Id="rId66" Target="media/rId66.png" /><Relationship Type="http://schemas.openxmlformats.org/officeDocument/2006/relationships/image" Id="rId53" Target="media/rId53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QAQC &amp; Analyses Descriptives - Projet PUDC</dc:title>
  <dc:creator/>
  <cp:keywords/>
  <dcterms:created xsi:type="dcterms:W3CDTF">2026-07-15T20:44:29Z</dcterms:created>
  <dcterms:modified xsi:type="dcterms:W3CDTF">2026-07-15T20:44:29Z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juillet 2026</vt:lpwstr>
  </property>
  <property fmtid="{D5CDD505-2E9C-101B-9397-08002B2CF9AE}" pid="3" name="output">
    <vt:lpwstr/>
  </property>
</Properties>
</file>