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7.png" ContentType="image/png"/>
  <Override PartName="/word/media/rId65.png" ContentType="image/png"/>
  <Override PartName="/word/media/rId24.png" ContentType="image/png"/>
  <Override PartName="/word/media/rId35.png" ContentType="image/png"/>
  <Override PartName="/word/media/rId10.png" ContentType="image/png"/>
  <Override PartName="/word/media/rId14.png" ContentType="image/png"/>
  <Override PartName="/word/media/rId62.png" ContentType="image/png"/>
  <Override PartName="/word/media/rId43.png" ContentType="image/png"/>
  <Override PartName="/word/media/rId40.png" ContentType="image/png"/>
  <Override PartName="/word/media/rId74.png" ContentType="image/png"/>
  <Override PartName="/word/media/rId70.png" ContentType="image/png"/>
  <Override PartName="/word/media/rId48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Rapport QAQC &amp; Analyses Descriptives - Projet PUDC</w:t>
      </w:r>
    </w:p>
    <w:p>
      <w:pPr>
        <w:pStyle w:val="Date"/>
      </w:pPr>
      <w:r>
        <w:t xml:space="preserve">13 juillet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-et-contexte"/>
    <w:p>
      <w:pPr>
        <w:pStyle w:val="Heading2"/>
      </w:pPr>
      <w:r>
        <w:t xml:space="preserve">1. Introduction et Contexte</w:t>
      </w:r>
    </w:p>
    <w:p>
      <w:pPr>
        <w:pStyle w:val="FirstParagraph"/>
      </w:pPr>
      <w:r>
        <w:t xml:space="preserve">Ce rapport présente les résultats de la validation de la qualité des données (QAQC) ainsi que les analyses descriptives de l’enquête du Programme d’Urgence de Développement Communautaire (PUDC) réalisée au Sénégal.</w:t>
      </w:r>
    </w:p>
    <w:p>
      <w:pPr>
        <w:pStyle w:val="BodyText"/>
      </w:pPr>
      <w:r>
        <w:t xml:space="preserve">Les bases analysées contiennent 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df_hh</w:t>
      </w:r>
      <w:r>
        <w:rPr>
          <w:b/>
          <w:bCs/>
        </w:rPr>
        <w:t xml:space="preserve"> </w:t>
      </w:r>
      <w:r>
        <w:rPr>
          <w:b/>
          <w:bCs/>
        </w:rPr>
        <w:t xml:space="preserve">(Ménages)</w:t>
      </w:r>
      <w:r>
        <w:t xml:space="preserve"> </w:t>
      </w:r>
      <w:r>
        <w:t xml:space="preserve">: 1686 ménages observés.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df_ind</w:t>
      </w:r>
      <w:r>
        <w:rPr>
          <w:b/>
          <w:bCs/>
        </w:rPr>
        <w:t xml:space="preserve"> </w:t>
      </w:r>
      <w:r>
        <w:rPr>
          <w:b/>
          <w:bCs/>
        </w:rPr>
        <w:t xml:space="preserve">(Individus)</w:t>
      </w:r>
      <w:r>
        <w:t xml:space="preserve"> </w:t>
      </w:r>
      <w:r>
        <w:t xml:space="preserve">: 14609 individus observés.</w:t>
      </w:r>
    </w:p>
    <w:p>
      <w:r>
        <w:pict>
          <v:rect style="width:0;height:1.5pt" o:hralign="center" o:hrstd="t" o:hr="t"/>
        </w:pict>
      </w:r>
    </w:p>
    <w:bookmarkEnd w:id="9"/>
    <w:bookmarkStart w:id="19" w:name="X47a5980c5f2a0573d1a10756999e7bd38f7d050"/>
    <w:p>
      <w:pPr>
        <w:pStyle w:val="Heading2"/>
      </w:pPr>
      <w:r>
        <w:t xml:space="preserve">2. Section A : Statistiques Descriptives Détaillées</w:t>
      </w:r>
    </w:p>
    <w:bookmarkStart w:id="18" w:name="Xe6c21ac9c3276431bf99449a6ed427060a014bd"/>
    <w:p>
      <w:pPr>
        <w:pStyle w:val="Heading3"/>
      </w:pPr>
      <w:r>
        <w:t xml:space="preserve">2.1 Découpage Géographique et Cartes Régionales</w:t>
      </w:r>
    </w:p>
    <w:p>
      <w:pPr>
        <w:pStyle w:val="FirstParagraph"/>
      </w:pPr>
      <w:r>
        <w:t xml:space="preserve">Le Sénégal est divisé en plusieurs régions. En couplant nos données avec les limites administratives (shapefile GADM), nous pouvons visualiser spatialement les disparités régionales.</w:t>
      </w:r>
    </w:p>
    <w:bookmarkStart w:id="13" w:name="X4d73829866befb30fd33885367244d191ed2107"/>
    <w:p>
      <w:pPr>
        <w:pStyle w:val="Heading4"/>
      </w:pPr>
      <w:r>
        <w:t xml:space="preserve">Carte 1 : Taux d’accès à l’eau potable améliorée (Standard JMP) par région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C:\Users\USER\Documents\ENSAE\ISE3\traitements des données statistiques\Projet_Traitement_Analyse\PUDC_Pipeline\data\output\QAQC_Report_files/43e540bf1a07834a2ef7b786d4630c835debd19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X8f297381fef14241340eee6459ccd2fd56b20b9"/>
    <w:p>
      <w:pPr>
        <w:pStyle w:val="Heading4"/>
      </w:pPr>
      <w:r>
        <w:t xml:space="preserve">Carte 2 : Niveau de richesse moyen (Score ACP) par région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:\Users\USER\Documents\ENSAE\ISE3\traitements des données statistiques\Projet_Traitement_Analyse\PUDC_Pipeline\data\output\QAQC_Report_files/565d80424ed16ba63b5fcf5cdb1fd3655d2a23ea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 tableau ci-dessous synthétise les données régionales cartographiées :</w:t>
      </w:r>
    </w:p>
    <w:p>
      <w:pPr>
        <w:pStyle w:val="TableCaption"/>
      </w:pPr>
      <w:r>
        <w:t xml:space="preserve">Indicateurs clés par Région et Milieu de résidence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ndicateurs clés par Région et Milieu de résidence"/>
      </w:tblPr>
      <w:tblGrid>
        <w:gridCol w:w="1000"/>
        <w:gridCol w:w="1167"/>
        <w:gridCol w:w="666"/>
        <w:gridCol w:w="1500"/>
        <w:gridCol w:w="1333"/>
        <w:gridCol w:w="22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milieu_label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Ménages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Eau améliorée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Chocs subis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 richesse (ACP) moyen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DIOURBEL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renseigné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KAFFRINE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renseigné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KAFFRINE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KAOLACK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KAOLACK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KEDOUGOU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renseigné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KEDOUGOU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renseigné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renseigné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SAINT LOUIS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SEDHIOU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renseigné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SEDHIOU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SEDHIOU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TAMBACOUNDA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renseigné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TAMBACOUNDA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renseigné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ZIGUINCHOR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renseigné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ZIGUINCHOR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ZIGUINCHOR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</w:t>
            </w:r>
          </w:p>
        </w:tc>
      </w:tr>
    </w:tbl>
    <w:bookmarkEnd w:id="17"/>
    <w:bookmarkEnd w:id="18"/>
    <w:bookmarkEnd w:id="19"/>
    <w:bookmarkStart w:id="29" w:name="X4f306251854ba36f09b44797fd3ded12d44b358"/>
    <w:p>
      <w:pPr>
        <w:pStyle w:val="Heading2"/>
      </w:pPr>
      <w:r>
        <w:t xml:space="preserve">2b. Diagnostic et mécanisme des données manquantes (cours 4-5)</w:t>
      </w:r>
    </w:p>
    <w:p>
      <w:pPr>
        <w:pStyle w:val="FirstParagraph"/>
      </w:pPr>
      <w:r>
        <w:t xml:space="preserve">Le pipeline diagnostique la complétude et le mécanisme des données manquantes avant toute imputation (cours 4 : non-réponse ; cours 5 : MCAR/MAR/MNAR). Les actifs manquants sont imputés par MICE (méthode</w:t>
      </w:r>
      <w:r>
        <w:t xml:space="preserve"> </w:t>
      </w:r>
      <w:r>
        <w:rPr>
          <w:rStyle w:val="VerbatimChar"/>
        </w:rPr>
        <w:t xml:space="preserve">logreg</w:t>
      </w:r>
      <w:r>
        <w:t xml:space="preserve">) ; le Périmètre Brachial (MUAC) étant absent à 100 % (le round ne l’a pas collecté), il est traité comme MNAR structurel et n’est pas imputé.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**Conclusion sur le mécanisme :** Les données des actifs présentent un mécanisme **MCAR** (Missing Completely At Random) . Le MUAC quant à lui est un **MNAR** structurel.</w:t>
      </w:r>
    </w:p>
    <w:bookmarkStart w:id="28" w:name="X8901b9a7580abf8457ad48fd57aaae0d13aa423"/>
    <w:p>
      <w:pPr>
        <w:pStyle w:val="Heading3"/>
      </w:pPr>
      <w:r>
        <w:t xml:space="preserve">Visualisation de la distribution et du mécanisme des données manquantes</w:t>
      </w:r>
    </w:p>
    <w:bookmarkStart w:id="23" w:name="comparaison-avant-après-imputation-mice"/>
    <w:p>
      <w:pPr>
        <w:pStyle w:val="Heading4"/>
      </w:pPr>
      <w:r>
        <w:t xml:space="preserve">Comparaison Avant / Après Imputation (MICE)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\Users\USER\Documents\ENSAE\ISE3\traitements des données statistiques\Projet_Traitement_Analyse\PUDC_Pipeline\data\output\QAQC_Report_files/0d0c93bb2f62024a4098e183e8cc92795031c0e9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7c86cc1a047b0fc7daa1ea04760650bddbfdfdc"/>
    <w:p>
      <w:pPr>
        <w:pStyle w:val="Heading4"/>
      </w:pPr>
      <w:r>
        <w:t xml:space="preserve">Visualisation bivariée du mécanisme de non-réponse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\Users\USER\Documents\ENSAE\ISE3\traitements des données statistiques\Projet_Traitement_Analyse\PUDC_Pipeline\data\output\QAQC_Report_files/263753d446868ef5c7c46c2f90addb8a7d90cad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End w:id="29"/>
    <w:bookmarkStart w:id="34" w:name="X48aeec49abc0cd24a89558b81da34e7666a033d"/>
    <w:p>
      <w:pPr>
        <w:pStyle w:val="Heading2"/>
      </w:pPr>
      <w:r>
        <w:t xml:space="preserve">2c. Exploration de l’imputation par K-Plus Proches Voisins (KNN) (Cours 3)</w:t>
      </w:r>
    </w:p>
    <w:p>
      <w:pPr>
        <w:pStyle w:val="FirstParagraph"/>
      </w:pPr>
      <w:r>
        <w:t xml:space="preserve">À titre comparatif avec la méthode MICE utilisée en production, nous simulons la recherche du paramètre optimal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pour une imputation KNN. L’objectif est d’imputer la possession du bien 1 (</w:t>
      </w:r>
      <w:r>
        <w:rPr>
          <w:rStyle w:val="VerbatimChar"/>
        </w:rPr>
        <w:t xml:space="preserve">Y2</w:t>
      </w:r>
      <w:r>
        <w:t xml:space="preserve">) à l’aide de la taille du ménage et de la possession du bien 2 (</w:t>
      </w:r>
      <w:r>
        <w:rPr>
          <w:rStyle w:val="VerbatimChar"/>
        </w:rPr>
        <w:t xml:space="preserve">X1</w:t>
      </w:r>
      <w:r>
        <w:t xml:space="preserve">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\Users\USER\Documents\ENSAE\ISE3\traitements des données statistiques\Projet_Traitement_Analyse\PUDC_Pipeline\data\output\QAQC_Report_files/fead3111fa76b757389fc78bf9582daa4a19479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Xa1fb998acf1a92bbc65a7db27f2c9b5632cd076"/>
    <w:p>
      <w:pPr>
        <w:pStyle w:val="Heading4"/>
      </w:pPr>
      <w:r>
        <w:t xml:space="preserve">Exploration d’autres méthodes d’imputation (Régression et Random Forest)</w:t>
      </w:r>
    </w:p>
    <w:p>
      <w:pPr>
        <w:pStyle w:val="FirstParagraph"/>
      </w:pPr>
      <w:r>
        <w:t xml:space="preserve">Pour démontrer la maîtrise des autres méthodes d’imputation vues au Cours 5, voici l’imputation de l’actif</w:t>
      </w:r>
      <w:r>
        <w:t xml:space="preserve"> </w:t>
      </w:r>
      <w:r>
        <w:rPr>
          <w:rStyle w:val="VerbatimChar"/>
        </w:rPr>
        <w:t xml:space="preserve">Y2</w:t>
      </w:r>
      <w:r>
        <w:t xml:space="preserve"> </w:t>
      </w:r>
      <w:r>
        <w:t xml:space="preserve">par régression linéaire et Random Forest.</w:t>
      </w:r>
    </w:p>
    <w:p>
      <w:pPr>
        <w:pStyle w:val="TableCaption"/>
      </w:pPr>
      <w:r>
        <w:t xml:space="preserve">Comparaison de l’espérance de la possession d’actif selon la méthode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mparaison de l’espérance de la possession d’actif selon la méth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Méthode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Moyenne_Y2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Brut (Moyenne)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0.0187852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MICE (Logreg poolé)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0.0187852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Régression Linéaire (lm)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0.0187852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0.0188434</w:t>
            </w:r>
          </w:p>
        </w:tc>
      </w:tr>
    </w:tbl>
    <w:bookmarkEnd w:id="33"/>
    <w:bookmarkEnd w:id="34"/>
    <w:bookmarkStart w:id="39" w:name="structure-démographique-de-la-population"/>
    <w:p>
      <w:pPr>
        <w:pStyle w:val="Heading2"/>
      </w:pPr>
      <w:r>
        <w:t xml:space="preserve">3. Structure Démographique de la Population</w:t>
      </w:r>
    </w:p>
    <w:p>
      <w:pPr>
        <w:pStyle w:val="TableCaption"/>
      </w:pPr>
      <w:r>
        <w:t xml:space="preserve">Caractéristiques démographiques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ractéristiques démographiqu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Proportion de femmes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51.08%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Âge moyen des membres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Proportion d’enfants (&lt; 5 ans)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11.27%</w:t>
            </w:r>
          </w:p>
        </w:tc>
      </w:tr>
    </w:tbl>
    <w:bookmarkStart w:id="38" w:name="répartition-par-âge-et-sexe"/>
    <w:p>
      <w:pPr>
        <w:pStyle w:val="Heading3"/>
      </w:pPr>
      <w:r>
        <w:t xml:space="preserve">Répartition par âge et sexe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:\Users\USER\Documents\ENSAE\ISE3\traitements des données statistiques\Projet_Traitement_Analyse\PUDC_Pipeline\data\output\QAQC_Report_files/2732537bfac8891fae7d090d3ab0ae4fa4b1bff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78" w:name="Xf061c28e976c1f344959c670032bcc83fdbc8eb"/>
    <w:p>
      <w:pPr>
        <w:pStyle w:val="Heading2"/>
      </w:pPr>
      <w:r>
        <w:t xml:space="preserve">4. Caractéristiques du Logement et Accès aux Services</w:t>
      </w:r>
    </w:p>
    <w:bookmarkStart w:id="47" w:name="accès-à-leau-potable-standard-jmp"/>
    <w:p>
      <w:pPr>
        <w:pStyle w:val="Heading3"/>
      </w:pPr>
      <w:r>
        <w:t xml:space="preserve">Accès à l’Eau Potable (Standard JMP)</w:t>
      </w:r>
    </w:p>
    <w:p>
      <w:pPr>
        <w:pStyle w:val="FirstParagraph"/>
      </w:pPr>
      <w:r>
        <w:t xml:space="preserve">L’accès à une source d’eau potable améliorée a été recalculé conformément aux standards JMP de l’OMS/UNICEF.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\Users\USER\Documents\ENSAE\ISE3\traitements des données statistiques\Projet_Traitement_Analyse\PUDC_Pipeline\data\output\QAQC_Report_files/a36151f17493d756981aa3324eb5f5dc3e09dd5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accès-à-lassainissement-amélioré"/>
    <w:p>
      <w:pPr>
        <w:pStyle w:val="Heading4"/>
      </w:pPr>
      <w:r>
        <w:t xml:space="preserve">Accès à l’Assainissement Amélioré</w:t>
      </w:r>
    </w:p>
    <w:p>
      <w:pPr>
        <w:pStyle w:val="FirstParagraph"/>
      </w:pPr>
      <w:r>
        <w:t xml:space="preserve">L’assainissement est mesuré par le type de toilettes utilisées par le ménage.</w:t>
      </w:r>
    </w:p>
    <w:p>
      <w:pPr>
        <w:pStyle w:val="TableCaption"/>
      </w:pPr>
      <w:r>
        <w:t xml:space="preserve">Distribution de l’accès à l’assainissement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stribution de l’accès à l’assainissemen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assainissement_ameliore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Amélioré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 Amélioré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40.7</w:t>
            </w:r>
          </w:p>
        </w:tc>
      </w:tr>
    </w:tbl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:\Users\USER\Documents\ENSAE\ISE3\traitements des données statistiques\Projet_Traitement_Analyse\PUDC_Pipeline\data\output\QAQC_Report_files/a181379f9192ad5e1b0791eea8abb1eefa8411af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End w:id="47"/>
    <w:bookmarkStart w:id="53" w:name="Xd6c59849d06dfb12dc45ff22cb76ce52d4ccd89"/>
    <w:p>
      <w:pPr>
        <w:pStyle w:val="Heading3"/>
      </w:pPr>
      <w:r>
        <w:t xml:space="preserve">Éducation et Caractéristiques du Chef de Ménage</w:t>
      </w:r>
    </w:p>
    <w:bookmarkStart w:id="51" w:name="scolarisation-des-individus"/>
    <w:p>
      <w:pPr>
        <w:pStyle w:val="Heading4"/>
      </w:pPr>
      <w:r>
        <w:t xml:space="preserve">Scolarisation des individus</w:t>
      </w:r>
    </w:p>
    <w:p>
      <w:pPr>
        <w:pStyle w:val="TableCaption"/>
      </w:pPr>
      <w:r>
        <w:t xml:space="preserve">Taux de scolarisation par tranche d’âge scolaire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ux de scolarisation par tranche d’âge scolair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Tranche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Taux scolarisation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Moyen (12-15 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Primaire (6-11 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3255</w:t>
            </w:r>
          </w:p>
        </w:tc>
      </w:tr>
    </w:tbl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:\Users\USER\Documents\ENSAE\ISE3\traitements des données statistiques\Projet_Traitement_Analyse\PUDC_Pipeline\data\output\QAQC_Report_files/fdb59153f5ecfa6c75964251c669a339d8f76c3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profil-du-chef-de-ménage"/>
    <w:p>
      <w:pPr>
        <w:pStyle w:val="Heading4"/>
      </w:pPr>
      <w:r>
        <w:t xml:space="preserve">Profil du Chef de Ménage</w:t>
      </w:r>
    </w:p>
    <w:p>
      <w:pPr>
        <w:pStyle w:val="TableCaption"/>
      </w:pPr>
      <w:r>
        <w:t xml:space="preserve">Profil sociodémographique des Chefs de Ménage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fil sociodémographique des Chefs de Ménag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Âge moyen du Chef de Ménage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Proportion de femmes Chefs de Ménage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Taux de scolarisation du Chef de Ménage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25.5</w:t>
            </w:r>
          </w:p>
        </w:tc>
      </w:tr>
    </w:tbl>
    <w:bookmarkEnd w:id="52"/>
    <w:bookmarkEnd w:id="53"/>
    <w:bookmarkStart w:id="56" w:name="caractéristiques-du-logement-et-emploi"/>
    <w:p>
      <w:pPr>
        <w:pStyle w:val="Heading3"/>
      </w:pPr>
      <w:r>
        <w:t xml:space="preserve">Caractéristiques du Logement et Emploi</w:t>
      </w:r>
    </w:p>
    <w:bookmarkStart w:id="54" w:name="matériaux-de-construction"/>
    <w:p>
      <w:pPr>
        <w:pStyle w:val="Heading4"/>
      </w:pPr>
      <w:r>
        <w:t xml:space="preserve">Matériaux de construction</w:t>
      </w:r>
    </w:p>
    <w:p>
      <w:pPr>
        <w:pStyle w:val="TableCaption"/>
      </w:pPr>
      <w:r>
        <w:t xml:space="preserve">Qualité de construction du logement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ualité de construction du logemen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Toit (matériaux améliorés)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Murs (matériaux améliorés)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71.1</w:t>
            </w:r>
          </w:p>
        </w:tc>
      </w:tr>
    </w:tbl>
    <w:bookmarkEnd w:id="54"/>
    <w:bookmarkStart w:id="55" w:name="emploi-et-occupation"/>
    <w:p>
      <w:pPr>
        <w:pStyle w:val="Heading4"/>
      </w:pPr>
      <w:r>
        <w:t xml:space="preserve">Emploi et Occupation</w:t>
      </w:r>
    </w:p>
    <w:p>
      <w:pPr>
        <w:pStyle w:val="TableCaption"/>
      </w:pPr>
      <w:r>
        <w:t xml:space="preserve">Répartition de la population par statut d’occupation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épartition de la population par statut d’occupatio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occupation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</w:tr>
    </w:tbl>
    <w:bookmarkEnd w:id="55"/>
    <w:bookmarkEnd w:id="56"/>
    <w:bookmarkStart w:id="61" w:name="actifs-possédés-et-sources-de-revenus"/>
    <w:p>
      <w:pPr>
        <w:pStyle w:val="Heading3"/>
      </w:pPr>
      <w:r>
        <w:t xml:space="preserve">Actifs possédés et Sources de Revenus</w:t>
      </w:r>
    </w:p>
    <w:bookmarkStart w:id="60" w:name="possession-des-actifs-détail"/>
    <w:p>
      <w:pPr>
        <w:pStyle w:val="Heading4"/>
      </w:pPr>
      <w:r>
        <w:t xml:space="preserve">Possession des actifs (Détail)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C:\Users\USER\Documents\ENSAE\ISE3\traitements des données statistiques\Projet_Traitement_Analyse\PUDC_Pipeline\data\output\QAQC_Report_files/14d8351113a94df9b9fa186349177ff6f049ffaa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End w:id="61"/>
    <w:bookmarkStart w:id="69" w:name="Xcdd1a43f1baf159117e1f730194057bacaed1fd"/>
    <w:p>
      <w:pPr>
        <w:pStyle w:val="Heading3"/>
      </w:pPr>
      <w:r>
        <w:t xml:space="preserve">Index de Richesse (Analyse en Composantes Principales - ACP)</w:t>
      </w:r>
    </w:p>
    <w:p>
      <w:pPr>
        <w:pStyle w:val="FirstParagraph"/>
      </w:pPr>
      <w:r>
        <w:t xml:space="preserve">L’indice de richesse a été construit en utilisant une ACP sur la base de la possession de plusieurs actifs.</w:t>
      </w:r>
    </w:p>
    <w:p>
      <w:pPr>
        <w:pStyle w:val="TableCaption"/>
      </w:pPr>
      <w:r>
        <w:t xml:space="preserve">Indicateurs de richesse et conditions de logement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ateurs de richesse et conditions de logemen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 moyen d’actifs (non pondéré)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Richesse ACP (Moyenne)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Richesse ACP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Richesse ACP 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Richesse ACP (Écart-Type)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 moyen de pièces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Valeurs aberrantes détectées (Nb pièces)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C:\Users\USER\Documents\ENSAE\ISE3\traitements des données statistiques\Projet_Traitement_Analyse\PUDC_Pipeline\data\output\QAQC_Report_files/5ca01081c8260c46e7786567e173f353f553a349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8" w:name="X26c73b2bb45f2938bec17c26bc766d18289964b"/>
    <w:p>
      <w:pPr>
        <w:pStyle w:val="Heading4"/>
      </w:pPr>
      <w:r>
        <w:t xml:space="preserve">Relation bivariée : Taille du ménage vs Score ACP (Cours 3)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C:\Users\USER\Documents\ENSAE\ISE3\traitements des données statistiques\Projet_Traitement_Analyse\PUDC_Pipeline\data\output\QAQC_Report_files/19f33580f487a7471ea76a519f65fe400a0ddf9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3" w:name="quintiles-de-richesse-méthode-dhs"/>
    <w:p>
      <w:pPr>
        <w:pStyle w:val="Heading3"/>
      </w:pPr>
      <w:r>
        <w:t xml:space="preserve">Quintiles de richesse (méthode DHS)</w:t>
      </w:r>
    </w:p>
    <w:p>
      <w:pPr>
        <w:pStyle w:val="FirstParagraph"/>
      </w:pPr>
      <w:r>
        <w:t xml:space="preserve">Les quintiles sont calculés à l’intérieur de chaque milieu (Rural/Urbain) afin de ne pas confondre richesse et milieu.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C:\Users\USER\Documents\ENSAE\ISE3\traitements des données statistiques\Projet_Traitement_Analyse\PUDC_Pipeline\data\output\QAQC_Report_files/f8e3524797c3360f60b64071212e429b3f55ae4c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index-de-richesse-par-région"/>
    <w:p>
      <w:pPr>
        <w:pStyle w:val="Heading3"/>
      </w:pPr>
      <w:r>
        <w:t xml:space="preserve">Index de richesse par région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C:\Users\USER\Documents\ENSAE\ISE3\traitements des données statistiques\Projet_Traitement_Analyse\PUDC_Pipeline\data\output\QAQC_Report_files/a5e929b394dc1925d435ad5ad3f139d8136b6ef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81" w:name="chocs-vulnérabilité-et-malnutrition"/>
    <w:p>
      <w:pPr>
        <w:pStyle w:val="Heading2"/>
      </w:pPr>
      <w:r>
        <w:t xml:space="preserve">5. Chocs, Vulnérabilité et Malnutrition</w:t>
      </w:r>
    </w:p>
    <w:bookmarkStart w:id="79" w:name="chocs-subis"/>
    <w:p>
      <w:pPr>
        <w:pStyle w:val="Heading3"/>
      </w:pPr>
      <w:r>
        <w:t xml:space="preserve">Chocs Subis</w:t>
      </w:r>
    </w:p>
    <w:p>
      <w:pPr>
        <w:pStyle w:val="TableCaption"/>
      </w:pPr>
      <w:r>
        <w:t xml:space="preserve">Chocs subis par les ménages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hocs subis par les ménag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Ménages ayant subi au moins un choc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 moyen de chocs par ménage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</w:tr>
    </w:tbl>
    <w:bookmarkEnd w:id="79"/>
    <w:bookmarkStart w:id="80" w:name="X3d937f72fd8699be37f5c52e516288e3126d0d8"/>
    <w:p>
      <w:pPr>
        <w:pStyle w:val="Heading3"/>
      </w:pPr>
      <w:r>
        <w:t xml:space="preserve">Malnutrition Infantile (Enfants de 6 à 59 mois)</w:t>
      </w:r>
    </w:p>
    <w:p>
      <w:pPr>
        <w:pStyle w:val="FirstParagraph"/>
      </w:pPr>
      <w:r>
        <w:t xml:space="preserve">L’indicateur de malnutrition a été calculé en se basant uniquement sur la tranche d’âge cible (6-59 mois) avec des mesures valides du Périmètre Brachial (MUAC).</w:t>
      </w:r>
    </w:p>
    <w:p>
      <w:pPr>
        <w:pStyle w:val="TableCaption"/>
      </w:pPr>
      <w:r>
        <w:t xml:space="preserve">Indicateurs de Malnutrition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ateurs de Malnutri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Enfants (6-59 mois) éligibles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Mesures MUAC valides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Taux de malnutrition (parmi valides)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1.75%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**Note :** Aucune mesure MUAC valide n'a été trouvée pour permettre la visualisation de la malnutrition.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X9cbc303703b8faff10a019fc595feee046fb4b4"/>
    <w:p>
      <w:pPr>
        <w:pStyle w:val="Heading2"/>
      </w:pPr>
      <w:r>
        <w:t xml:space="preserve">Note sur les pondérations d’échantillonnage</w:t>
      </w:r>
    </w:p>
    <w:p>
      <w:pPr>
        <w:pStyle w:val="FirstParagraph"/>
      </w:pPr>
      <w:r>
        <w:t xml:space="preserve">Le jeu de données traité ne contient aucune variable de poids d’échantillonnage. Les statistiques et graphiques de ce rapport sont donc des estimations non pondérées. Pour une enquête de type PUDC/EHCVM, les estimations (accès à l’eau, malnutrition, index de richesse) devraient être calculées via un plan d’échantillonnage.</w:t>
      </w:r>
    </w:p>
    <w:p>
      <w:pPr>
        <w:pStyle w:val="BodyText"/>
      </w:pPr>
      <w:r>
        <w:rPr>
          <w:b/>
          <w:bCs/>
        </w:rPr>
        <w:t xml:space="preserve">Exemple d’implémentation (si la variable de poids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hhweight</w:t>
      </w:r>
      <w:r>
        <w:rPr>
          <w:b/>
          <w:bCs/>
        </w:rPr>
        <w:t xml:space="preserve"> </w:t>
      </w:r>
      <w:r>
        <w:rPr>
          <w:b/>
          <w:bCs/>
        </w:rPr>
        <w:t xml:space="preserve">existait) 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rPr>
          <w:rStyle w:val="CommentTok"/>
        </w:rPr>
        <w:t xml:space="preserve"># Définition du plan de sondage (Grappe = ZD, Strate = Milieu/Région, Poids = hhweight)</w:t>
      </w:r>
      <w:r>
        <w:br/>
      </w:r>
      <w:r>
        <w:rPr>
          <w:rStyle w:val="NormalTok"/>
        </w:rPr>
        <w:t xml:space="preserve">pudc_design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svydesign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zd_id,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region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milieu,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hhweight,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df_hh)</w:t>
      </w:r>
      <w:r>
        <w:br/>
      </w:r>
      <w:r>
        <w:br/>
      </w:r>
      <w:r>
        <w:rPr>
          <w:rStyle w:val="CommentTok"/>
        </w:rPr>
        <w:t xml:space="preserve"># Calcul d'une moyenne pondérée pour l'accès à l'eau améliorée</w:t>
      </w:r>
      <w:r>
        <w:br/>
      </w:r>
      <w:r>
        <w:rPr>
          <w:rStyle w:val="FunctionTok"/>
        </w:rPr>
        <w:t xml:space="preserve">svymean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eau_amelioree,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pudc_design,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Recommandation : extraire le poids de l’export Stata via</w:t>
      </w:r>
      <w:r>
        <w:t xml:space="preserve"> </w:t>
      </w:r>
      <w:r>
        <w:rPr>
          <w:rStyle w:val="VerbatimChar"/>
        </w:rPr>
        <w:t xml:space="preserve">var_mapping.csv</w:t>
      </w:r>
      <w:r>
        <w:t xml:space="preserve"> </w:t>
      </w:r>
      <w:r>
        <w:t xml:space="preserve">et répéter les estimations pondérées (voir template EHCVM de référence).</w:t>
      </w:r>
    </w:p>
    <w:bookmarkEnd w:id="82"/>
    <w:bookmarkStart w:id="83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L’exécution du pipeline de traitement PUDC confirme la bonne reproductibilité et la qualité du nettoyage des données. Les bases finales</w:t>
      </w:r>
      <w:r>
        <w:t xml:space="preserve"> </w:t>
      </w:r>
      <w:r>
        <w:rPr>
          <w:rStyle w:val="VerbatimChar"/>
        </w:rPr>
        <w:t xml:space="preserve">Individus.csv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Menages.csv</w:t>
      </w:r>
      <w:r>
        <w:t xml:space="preserve"> </w:t>
      </w:r>
      <w:r>
        <w:t xml:space="preserve">sont désormais structurées, exemptes d’aberrations majeures, et prêtes pour des modélisations statistiques avancées.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57" Target="media/rId57.png" /><Relationship Type="http://schemas.openxmlformats.org/officeDocument/2006/relationships/image" Id="rId65" Target="media/rId65.png" /><Relationship Type="http://schemas.openxmlformats.org/officeDocument/2006/relationships/image" Id="rId24" Target="media/rId24.png" /><Relationship Type="http://schemas.openxmlformats.org/officeDocument/2006/relationships/image" Id="rId35" Target="media/rId35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62" Target="media/rId62.png" /><Relationship Type="http://schemas.openxmlformats.org/officeDocument/2006/relationships/image" Id="rId43" Target="media/rId43.png" /><Relationship Type="http://schemas.openxmlformats.org/officeDocument/2006/relationships/image" Id="rId40" Target="media/rId40.png" /><Relationship Type="http://schemas.openxmlformats.org/officeDocument/2006/relationships/image" Id="rId74" Target="media/rId74.png" /><Relationship Type="http://schemas.openxmlformats.org/officeDocument/2006/relationships/image" Id="rId70" Target="media/rId70.png" /><Relationship Type="http://schemas.openxmlformats.org/officeDocument/2006/relationships/image" Id="rId48" Target="media/rId48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QAQC &amp; Analyses Descriptives - Projet PUDC</dc:title>
  <dc:creator/>
  <cp:keywords/>
  <dcterms:created xsi:type="dcterms:W3CDTF">2026-07-13T18:35:17Z</dcterms:created>
  <dcterms:modified xsi:type="dcterms:W3CDTF">2026-07-13T18:35:17Z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13 juillet 2026</vt:lpwstr>
  </property>
  <property fmtid="{D5CDD505-2E9C-101B-9397-08002B2CF9AE}" pid="3" name="output">
    <vt:lpwstr/>
  </property>
</Properties>
</file>