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604" w:rsidRPr="003C3604" w:rsidRDefault="003C3604" w:rsidP="003C3604">
      <w:pPr>
        <w:rPr>
          <w:b/>
          <w:sz w:val="28"/>
          <w:u w:val="single"/>
        </w:rPr>
      </w:pPr>
      <w:r>
        <w:rPr>
          <w:b/>
          <w:sz w:val="28"/>
          <w:u w:val="single"/>
        </w:rPr>
        <w:t>Proteção d</w:t>
      </w:r>
      <w:r w:rsidR="00F65443">
        <w:rPr>
          <w:b/>
          <w:sz w:val="28"/>
          <w:u w:val="single"/>
        </w:rPr>
        <w:t xml:space="preserve">o </w:t>
      </w:r>
      <w:proofErr w:type="spellStart"/>
      <w:r w:rsidR="00F65443">
        <w:rPr>
          <w:b/>
          <w:sz w:val="28"/>
          <w:u w:val="single"/>
        </w:rPr>
        <w:t>Systema</w:t>
      </w:r>
      <w:proofErr w:type="spellEnd"/>
      <w:r w:rsidR="00F65443">
        <w:rPr>
          <w:b/>
          <w:sz w:val="28"/>
          <w:u w:val="single"/>
        </w:rPr>
        <w:t xml:space="preserve"> de Arquivos</w:t>
      </w:r>
    </w:p>
    <w:p w:rsidR="003C3604" w:rsidRDefault="003C3604" w:rsidP="003C3604"/>
    <w:p w:rsidR="003C3604" w:rsidRPr="003C3604" w:rsidRDefault="001966BB" w:rsidP="003C3604">
      <w:pPr>
        <w:rPr>
          <w:b/>
        </w:rPr>
      </w:pPr>
      <w:r>
        <w:rPr>
          <w:b/>
        </w:rPr>
        <w:t xml:space="preserve">1. Remoção do SUID Bit e do SGID Bit do </w:t>
      </w:r>
      <w:proofErr w:type="spellStart"/>
      <w:r>
        <w:rPr>
          <w:b/>
        </w:rPr>
        <w:t>Sestema</w:t>
      </w:r>
      <w:proofErr w:type="spellEnd"/>
    </w:p>
    <w:p w:rsidR="00804199" w:rsidRDefault="003C3604" w:rsidP="003C3604">
      <w:r>
        <w:t xml:space="preserve">O BIOS é um software básico, necessário para a inicialização da placa-mãe, responsável </w:t>
      </w:r>
      <w:proofErr w:type="gramStart"/>
      <w:r>
        <w:t>por</w:t>
      </w:r>
      <w:proofErr w:type="gramEnd"/>
      <w:r>
        <w:t xml:space="preserve"> </w:t>
      </w:r>
    </w:p>
    <w:p w:rsidR="00804199" w:rsidRDefault="00804199" w:rsidP="003C3604">
      <w:pPr>
        <w:rPr>
          <w:rFonts w:cs="Arial"/>
        </w:rPr>
      </w:pPr>
      <w:r w:rsidRPr="00804199">
        <w:rPr>
          <w:rFonts w:cs="Arial"/>
        </w:rPr>
        <w:t>Nos UNIX-</w:t>
      </w:r>
      <w:proofErr w:type="spellStart"/>
      <w:r w:rsidRPr="00804199">
        <w:rPr>
          <w:rFonts w:cs="Arial"/>
        </w:rPr>
        <w:t>Like</w:t>
      </w:r>
      <w:proofErr w:type="spellEnd"/>
      <w:r w:rsidRPr="00804199">
        <w:rPr>
          <w:rFonts w:cs="Arial"/>
        </w:rPr>
        <w:t xml:space="preserve"> temos as tradicionais permissões </w:t>
      </w:r>
      <w:r w:rsidRPr="00804199">
        <w:rPr>
          <w:rFonts w:cs="Arial"/>
          <w:b/>
        </w:rPr>
        <w:t>UGO (</w:t>
      </w:r>
      <w:proofErr w:type="spellStart"/>
      <w:r w:rsidRPr="00804199">
        <w:rPr>
          <w:rFonts w:cs="Arial"/>
          <w:b/>
        </w:rPr>
        <w:t>User</w:t>
      </w:r>
      <w:proofErr w:type="spellEnd"/>
      <w:r w:rsidRPr="00804199">
        <w:rPr>
          <w:rFonts w:cs="Arial"/>
          <w:b/>
        </w:rPr>
        <w:t xml:space="preserve">, </w:t>
      </w:r>
      <w:proofErr w:type="spellStart"/>
      <w:r w:rsidRPr="00804199">
        <w:rPr>
          <w:rFonts w:cs="Arial"/>
          <w:b/>
        </w:rPr>
        <w:t>Group</w:t>
      </w:r>
      <w:proofErr w:type="spellEnd"/>
      <w:r w:rsidRPr="00804199">
        <w:rPr>
          <w:rFonts w:cs="Arial"/>
          <w:b/>
        </w:rPr>
        <w:t xml:space="preserve"> </w:t>
      </w:r>
      <w:proofErr w:type="spellStart"/>
      <w:r w:rsidRPr="00804199">
        <w:rPr>
          <w:rFonts w:cs="Arial"/>
          <w:b/>
        </w:rPr>
        <w:t>and</w:t>
      </w:r>
      <w:proofErr w:type="spellEnd"/>
      <w:r w:rsidRPr="00804199">
        <w:rPr>
          <w:rFonts w:cs="Arial"/>
          <w:b/>
        </w:rPr>
        <w:t xml:space="preserve"> </w:t>
      </w:r>
      <w:proofErr w:type="spellStart"/>
      <w:r w:rsidRPr="00804199">
        <w:rPr>
          <w:rFonts w:cs="Arial"/>
          <w:b/>
        </w:rPr>
        <w:t>Other</w:t>
      </w:r>
      <w:proofErr w:type="spellEnd"/>
      <w:r w:rsidRPr="00804199">
        <w:rPr>
          <w:rFonts w:cs="Arial"/>
          <w:b/>
        </w:rPr>
        <w:t>)</w:t>
      </w:r>
      <w:r w:rsidRPr="00804199">
        <w:rPr>
          <w:rFonts w:cs="Arial"/>
        </w:rPr>
        <w:t>. Para tornar as permissões mais flexíveis foram criadas mais três permissões especiais, que são as seguintes</w:t>
      </w:r>
      <w:r w:rsidRPr="00804199">
        <w:rPr>
          <w:rFonts w:cs="Arial"/>
        </w:rPr>
        <w:t>:</w:t>
      </w:r>
      <w:r>
        <w:rPr>
          <w:rFonts w:cs="Arial"/>
        </w:rPr>
        <w:t xml:space="preserve"> SUID Bit, SGID Bit e Stick Bit.</w:t>
      </w:r>
    </w:p>
    <w:p w:rsidR="00804199" w:rsidRDefault="00804199" w:rsidP="003C3604">
      <w:pPr>
        <w:rPr>
          <w:rFonts w:cs="Arial"/>
          <w:szCs w:val="20"/>
        </w:rPr>
      </w:pPr>
      <w:r>
        <w:rPr>
          <w:rFonts w:cs="Arial"/>
        </w:rPr>
        <w:t xml:space="preserve">A SUID Bit </w:t>
      </w:r>
      <w:r w:rsidRPr="00804199">
        <w:rPr>
          <w:rFonts w:cs="Arial"/>
          <w:szCs w:val="20"/>
        </w:rPr>
        <w:t xml:space="preserve">só pode ser </w:t>
      </w:r>
      <w:r w:rsidRPr="00804199">
        <w:rPr>
          <w:rFonts w:cs="Arial"/>
          <w:szCs w:val="20"/>
        </w:rPr>
        <w:t>aplicada</w:t>
      </w:r>
      <w:r w:rsidRPr="00804199">
        <w:rPr>
          <w:rFonts w:cs="Arial"/>
          <w:szCs w:val="20"/>
        </w:rPr>
        <w:t xml:space="preserve"> em arquivos executáveis. Assim, o binário é executado com as permissões do dono</w:t>
      </w:r>
      <w:r>
        <w:rPr>
          <w:rFonts w:cs="Arial"/>
          <w:szCs w:val="20"/>
        </w:rPr>
        <w:t xml:space="preserve"> e o SGID Bit </w:t>
      </w:r>
      <w:r w:rsidRPr="00804199">
        <w:rPr>
          <w:rFonts w:cs="Arial"/>
          <w:szCs w:val="20"/>
        </w:rPr>
        <w:t>quando é aplicado em um arquivo executável, funciona de forma parecida com o SUID Bit, mas é usada a permissão do grupo do arquivo. Além disso, esse bit pode ser aplicado em diretórios, quando isso acontece, tudo que for criado dentro desse diretório terá o grupo dele, ou seja, se o diretório pai tem o SGID Bit ativado, tudo que for criado dentro dele terá o seu grupo e não o do usuário que criou.</w:t>
      </w:r>
    </w:p>
    <w:p w:rsidR="00804199" w:rsidRPr="00804199" w:rsidRDefault="00804199" w:rsidP="00804199">
      <w:pPr>
        <w:rPr>
          <w:rFonts w:cs="Arial"/>
        </w:rPr>
      </w:pPr>
      <w:r w:rsidRPr="00804199">
        <w:rPr>
          <w:rFonts w:cs="Arial"/>
        </w:rPr>
        <w:t xml:space="preserve">Como podemos ver o mais preocupante é o </w:t>
      </w:r>
      <w:r w:rsidRPr="00804199">
        <w:rPr>
          <w:rFonts w:cs="Arial"/>
          <w:b/>
        </w:rPr>
        <w:t>SUID Bit</w:t>
      </w:r>
      <w:r w:rsidRPr="00804199">
        <w:rPr>
          <w:rFonts w:cs="Arial"/>
        </w:rPr>
        <w:t>, já que, o binário será executado como usuário dono.</w:t>
      </w:r>
    </w:p>
    <w:p w:rsidR="003C3604" w:rsidRPr="00037722" w:rsidRDefault="00804199" w:rsidP="00037722">
      <w:pPr>
        <w:shd w:val="clear" w:color="auto" w:fill="FFFFFF"/>
        <w:jc w:val="both"/>
        <w:rPr>
          <w:rFonts w:cs="Arial"/>
          <w:color w:val="000000"/>
          <w:szCs w:val="20"/>
        </w:rPr>
      </w:pPr>
      <w:r w:rsidRPr="00804199">
        <w:rPr>
          <w:rFonts w:cs="Arial"/>
          <w:szCs w:val="20"/>
        </w:rPr>
        <w:t xml:space="preserve">Por isso, o </w:t>
      </w:r>
      <w:r w:rsidRPr="00804199">
        <w:rPr>
          <w:rFonts w:cs="Arial"/>
          <w:color w:val="000000"/>
          <w:szCs w:val="20"/>
        </w:rPr>
        <w:t>uso do </w:t>
      </w:r>
      <w:r w:rsidRPr="00804199">
        <w:rPr>
          <w:rFonts w:cs="Arial"/>
          <w:b/>
          <w:bCs/>
          <w:color w:val="000000"/>
          <w:szCs w:val="20"/>
        </w:rPr>
        <w:t>SUID Bit</w:t>
      </w:r>
      <w:r w:rsidRPr="00804199">
        <w:rPr>
          <w:rFonts w:cs="Arial"/>
          <w:color w:val="000000"/>
          <w:szCs w:val="20"/>
        </w:rPr>
        <w:t> deve ser limitado, já que isso pode implicar em falha de segurança. O </w:t>
      </w:r>
      <w:r w:rsidRPr="00804199">
        <w:rPr>
          <w:rFonts w:cs="Arial"/>
          <w:b/>
          <w:bCs/>
          <w:color w:val="000000"/>
          <w:szCs w:val="20"/>
        </w:rPr>
        <w:t>SUID Bit</w:t>
      </w:r>
      <w:r w:rsidRPr="00804199">
        <w:rPr>
          <w:rFonts w:cs="Arial"/>
          <w:color w:val="000000"/>
          <w:szCs w:val="20"/>
        </w:rPr>
        <w:t> quando aplicado em arquivos executáveis (já que o </w:t>
      </w:r>
      <w:r w:rsidRPr="00804199">
        <w:rPr>
          <w:rFonts w:cs="Arial"/>
          <w:b/>
          <w:bCs/>
          <w:color w:val="000000"/>
          <w:szCs w:val="20"/>
        </w:rPr>
        <w:t xml:space="preserve">SUID Bit </w:t>
      </w:r>
      <w:r w:rsidRPr="00804199">
        <w:rPr>
          <w:rFonts w:cs="Arial"/>
          <w:color w:val="000000"/>
          <w:szCs w:val="20"/>
        </w:rPr>
        <w:t>aplicado em diretório não tem efeito algum) faz com que este arquivo seja executado com as permissões do usuário dono do arquivo. Por exemplo, um usuário que execute um script que necessita gravar o log na pasta </w:t>
      </w:r>
      <w:r w:rsidRPr="00804199">
        <w:rPr>
          <w:rFonts w:cs="Arial"/>
          <w:b/>
          <w:bCs/>
          <w:color w:val="000000"/>
          <w:szCs w:val="20"/>
        </w:rPr>
        <w:t>/var/log</w:t>
      </w:r>
      <w:r w:rsidRPr="00804199">
        <w:rPr>
          <w:rFonts w:cs="Arial"/>
          <w:color w:val="000000"/>
          <w:szCs w:val="20"/>
        </w:rPr>
        <w:t> e este usuário não tem as permissões necessárias, poderemos usar o </w:t>
      </w:r>
      <w:r w:rsidRPr="00804199">
        <w:rPr>
          <w:rFonts w:cs="Arial"/>
          <w:b/>
          <w:bCs/>
          <w:color w:val="000000"/>
          <w:szCs w:val="20"/>
        </w:rPr>
        <w:t>SUID Bit</w:t>
      </w:r>
      <w:r w:rsidRPr="00804199">
        <w:rPr>
          <w:rFonts w:cs="Arial"/>
          <w:color w:val="000000"/>
          <w:szCs w:val="20"/>
        </w:rPr>
        <w:t xml:space="preserve"> para que o usuário execute o script como se fosse o dono do script (por exemplo, como </w:t>
      </w:r>
      <w:r w:rsidRPr="00804199">
        <w:rPr>
          <w:rFonts w:cs="Arial"/>
          <w:b/>
          <w:color w:val="000000"/>
          <w:szCs w:val="20"/>
        </w:rPr>
        <w:t>root</w:t>
      </w:r>
      <w:r w:rsidRPr="00804199">
        <w:rPr>
          <w:rFonts w:cs="Arial"/>
          <w:color w:val="000000"/>
          <w:szCs w:val="20"/>
        </w:rPr>
        <w:t xml:space="preserve">) o qual tem as permissões necessárias </w:t>
      </w:r>
      <w:r w:rsidR="00037722">
        <w:rPr>
          <w:rFonts w:cs="Arial"/>
          <w:color w:val="000000"/>
          <w:szCs w:val="20"/>
        </w:rPr>
        <w:t>de escrita no devido diretório.</w:t>
      </w:r>
    </w:p>
    <w:p w:rsidR="003C3604" w:rsidRDefault="003C3604" w:rsidP="003C3604"/>
    <w:p w:rsidR="003C3604" w:rsidRPr="003C3604" w:rsidRDefault="003C3604" w:rsidP="003C3604">
      <w:pPr>
        <w:rPr>
          <w:b/>
        </w:rPr>
      </w:pPr>
      <w:r w:rsidRPr="003C3604">
        <w:rPr>
          <w:b/>
        </w:rPr>
        <w:t>Conformidade com a Norma NBR ISO/IEC 27001:2013</w:t>
      </w:r>
    </w:p>
    <w:p w:rsidR="00FF207A" w:rsidRDefault="00FF207A" w:rsidP="00FF207A">
      <w:r>
        <w:t>.</w:t>
      </w:r>
      <w:r>
        <w:tab/>
        <w:t>Controle</w:t>
      </w:r>
      <w:r w:rsidR="0030407A">
        <w:t xml:space="preserve"> </w:t>
      </w:r>
      <w:r w:rsidR="00B469DA">
        <w:t>0</w:t>
      </w:r>
      <w:r w:rsidR="0030407A">
        <w:t>01</w:t>
      </w:r>
      <w:r>
        <w:t xml:space="preserve">: Políticas </w:t>
      </w:r>
      <w:r w:rsidR="0030407A">
        <w:t>para a segurança da informação</w:t>
      </w:r>
      <w:r>
        <w:t>.</w:t>
      </w:r>
    </w:p>
    <w:p w:rsidR="00FF207A" w:rsidRDefault="00FF207A" w:rsidP="00FF207A">
      <w:r>
        <w:tab/>
        <w:t>5.1.1 - Convém que um conjunto de políticas de segurança da informação seja definido, aprovado pela direção, publicado e comunicado para todos os funcionários e partes externas relevantes. (ABNT, NBR 27002, 2013, p.2)</w:t>
      </w:r>
      <w:r w:rsidR="00844910">
        <w:t>.</w:t>
      </w:r>
      <w:bookmarkStart w:id="0" w:name="_GoBack"/>
      <w:bookmarkEnd w:id="0"/>
    </w:p>
    <w:p w:rsidR="00FF207A" w:rsidRDefault="00FF207A" w:rsidP="00FF207A">
      <w:r>
        <w:t>.</w:t>
      </w:r>
      <w:r>
        <w:tab/>
        <w:t>Controle</w:t>
      </w:r>
      <w:r w:rsidR="0030407A">
        <w:t xml:space="preserve"> </w:t>
      </w:r>
      <w:r w:rsidR="00B469DA">
        <w:t>0</w:t>
      </w:r>
      <w:r w:rsidR="0030407A">
        <w:t>02</w:t>
      </w:r>
      <w:r>
        <w:t>: Análise crítica das políticas de segurança da informação.</w:t>
      </w:r>
    </w:p>
    <w:p w:rsidR="00FF207A" w:rsidRDefault="00FF207A" w:rsidP="00FF207A">
      <w:r>
        <w:tab/>
        <w:t>5.1.2 - Convém que as políticas de segurança da informação sejam analisadas criticamente a intervalos planejados ou quando mudanças significativas ocorrerem, para assegurar a sua continua pertinência, adequação e eficácia. (ABNT, NBR 27002, 2013, p.4)</w:t>
      </w:r>
      <w:r w:rsidR="00844910">
        <w:t>.</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844910">
        <w:t>.</w:t>
      </w:r>
    </w:p>
    <w:p w:rsidR="003C3604" w:rsidRDefault="003C3604" w:rsidP="003C3604">
      <w:r>
        <w:lastRenderedPageBreak/>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844910">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844910">
        <w:t>.</w:t>
      </w:r>
    </w:p>
    <w:p w:rsidR="004F7E2E" w:rsidRDefault="004F7E2E" w:rsidP="004F7E2E">
      <w:r>
        <w:t>.</w:t>
      </w:r>
      <w:r>
        <w:tab/>
        <w:t>Controle</w:t>
      </w:r>
      <w:r w:rsidR="0030407A">
        <w:t xml:space="preserve"> </w:t>
      </w:r>
      <w:r w:rsidR="00B469DA">
        <w:t>0</w:t>
      </w:r>
      <w:r w:rsidR="0030407A">
        <w:t xml:space="preserve">61: Controles contra </w:t>
      </w:r>
      <w:proofErr w:type="spellStart"/>
      <w:r w:rsidR="0030407A">
        <w:t>malware</w:t>
      </w:r>
      <w:proofErr w:type="spellEnd"/>
      <w:r>
        <w:t>.</w:t>
      </w:r>
    </w:p>
    <w:p w:rsidR="004F7E2E" w:rsidRDefault="004F7E2E" w:rsidP="004F7E2E">
      <w:r>
        <w:tab/>
        <w:t xml:space="preserve">12.2.1 - Convém que sejam </w:t>
      </w:r>
      <w:proofErr w:type="gramStart"/>
      <w:r>
        <w:t>implementados</w:t>
      </w:r>
      <w:proofErr w:type="gramEnd"/>
      <w:r>
        <w:t xml:space="preserve"> controles de detecção, prevenção e recuperação para proteger contra </w:t>
      </w:r>
      <w:proofErr w:type="spellStart"/>
      <w:r>
        <w:t>malware</w:t>
      </w:r>
      <w:proofErr w:type="spellEnd"/>
      <w:r>
        <w:t>, combinados com um adequado programa de conscientização do usuário. (ABNT, NBR 27002, 2013, p.51)</w:t>
      </w:r>
      <w:r w:rsidR="00844910">
        <w:t>.</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844910">
        <w:t>.</w:t>
      </w:r>
    </w:p>
    <w:p w:rsidR="003C3604" w:rsidRDefault="003C3604" w:rsidP="003C3604"/>
    <w:p w:rsidR="003C3604" w:rsidRPr="003C3604" w:rsidRDefault="003C3604" w:rsidP="003C3604">
      <w:pPr>
        <w:rPr>
          <w:b/>
        </w:rPr>
      </w:pPr>
      <w:r w:rsidRPr="003C3604">
        <w:rPr>
          <w:b/>
        </w:rPr>
        <w:t xml:space="preserve">2. Proteção </w:t>
      </w:r>
      <w:r w:rsidR="00914D83">
        <w:rPr>
          <w:b/>
        </w:rPr>
        <w:t>do</w:t>
      </w:r>
      <w:r w:rsidR="0062624D">
        <w:rPr>
          <w:b/>
        </w:rPr>
        <w:t xml:space="preserve"> </w:t>
      </w:r>
      <w:proofErr w:type="spellStart"/>
      <w:proofErr w:type="gramStart"/>
      <w:r w:rsidR="0062624D">
        <w:rPr>
          <w:b/>
        </w:rPr>
        <w:t>FileSystem</w:t>
      </w:r>
      <w:proofErr w:type="spellEnd"/>
      <w:proofErr w:type="gramEnd"/>
    </w:p>
    <w:p w:rsidR="00914D83" w:rsidRPr="00914D83" w:rsidRDefault="00914D83" w:rsidP="00914D83">
      <w:pPr>
        <w:shd w:val="clear" w:color="auto" w:fill="FFFFFF"/>
        <w:jc w:val="both"/>
        <w:rPr>
          <w:rFonts w:cs="Arial"/>
          <w:color w:val="000000"/>
        </w:rPr>
      </w:pPr>
      <w:r w:rsidRPr="00914D83">
        <w:rPr>
          <w:rFonts w:cs="Arial"/>
          <w:color w:val="000000"/>
        </w:rPr>
        <w:t xml:space="preserve">Sempre que instalamos um sistema operacional Linux, devemos seguir a </w:t>
      </w:r>
      <w:r w:rsidRPr="00914D83">
        <w:rPr>
          <w:rFonts w:cs="Arial"/>
          <w:b/>
          <w:color w:val="000000"/>
        </w:rPr>
        <w:t>FHS (</w:t>
      </w:r>
      <w:proofErr w:type="spellStart"/>
      <w:proofErr w:type="gramStart"/>
      <w:r w:rsidRPr="00914D83">
        <w:rPr>
          <w:rFonts w:cs="Arial"/>
          <w:b/>
          <w:color w:val="000000"/>
        </w:rPr>
        <w:t>FileSystem</w:t>
      </w:r>
      <w:proofErr w:type="spellEnd"/>
      <w:proofErr w:type="gramEnd"/>
      <w:r w:rsidRPr="00914D83">
        <w:rPr>
          <w:rFonts w:cs="Arial"/>
          <w:b/>
          <w:color w:val="000000"/>
        </w:rPr>
        <w:t xml:space="preserve"> </w:t>
      </w:r>
      <w:proofErr w:type="spellStart"/>
      <w:r w:rsidRPr="00914D83">
        <w:rPr>
          <w:rFonts w:cs="Arial"/>
          <w:b/>
          <w:color w:val="000000"/>
        </w:rPr>
        <w:t>Hierarchy</w:t>
      </w:r>
      <w:proofErr w:type="spellEnd"/>
      <w:r w:rsidRPr="00914D83">
        <w:rPr>
          <w:rFonts w:cs="Arial"/>
          <w:b/>
          <w:color w:val="000000"/>
        </w:rPr>
        <w:t xml:space="preserve"> Standard)</w:t>
      </w:r>
      <w:r w:rsidRPr="00914D83">
        <w:rPr>
          <w:rFonts w:cs="Arial"/>
          <w:color w:val="000000"/>
        </w:rPr>
        <w:t xml:space="preserve"> e separar as partições que são compartilhadas para que possamos usar opções de montagem diferentes entre elas, além de nos proporcionar uma maior segurança.</w:t>
      </w:r>
    </w:p>
    <w:p w:rsidR="00914D83" w:rsidRPr="00914D83" w:rsidRDefault="00914D83" w:rsidP="00914D83">
      <w:pPr>
        <w:shd w:val="clear" w:color="auto" w:fill="FFFFFF"/>
        <w:jc w:val="both"/>
        <w:rPr>
          <w:color w:val="000000"/>
        </w:rPr>
      </w:pPr>
    </w:p>
    <w:p w:rsidR="003C3604" w:rsidRDefault="00914D83" w:rsidP="000F2FA1">
      <w:pPr>
        <w:shd w:val="clear" w:color="auto" w:fill="FFFFFF"/>
        <w:jc w:val="both"/>
        <w:rPr>
          <w:color w:val="000000"/>
        </w:rPr>
      </w:pPr>
      <w:r w:rsidRPr="00914D83">
        <w:rPr>
          <w:color w:val="000000"/>
        </w:rPr>
        <w:t>Para inibirmos a utilização de forma arbitrária do uso do filesystem devemos definir alguma política de segurança em relação aos sistemas de arquivos montados. Isso pode ser feito utilizando algumas opções do comando </w:t>
      </w:r>
      <w:proofErr w:type="spellStart"/>
      <w:r w:rsidRPr="00914D83">
        <w:rPr>
          <w:b/>
          <w:bCs/>
          <w:color w:val="000000"/>
        </w:rPr>
        <w:t>mount</w:t>
      </w:r>
      <w:proofErr w:type="spellEnd"/>
      <w:r w:rsidRPr="00914D83">
        <w:rPr>
          <w:color w:val="000000"/>
        </w:rPr>
        <w:t xml:space="preserve">, como foi feito no exemplo, atribuindo o </w:t>
      </w:r>
      <w:proofErr w:type="spellStart"/>
      <w:r w:rsidRPr="00914D83">
        <w:rPr>
          <w:b/>
          <w:color w:val="000000"/>
        </w:rPr>
        <w:t>nosuid</w:t>
      </w:r>
      <w:proofErr w:type="spellEnd"/>
      <w:r w:rsidRPr="00914D83">
        <w:rPr>
          <w:color w:val="000000"/>
        </w:rPr>
        <w:t xml:space="preserve"> na remontagem da partição </w:t>
      </w:r>
      <w:r w:rsidRPr="00914D83">
        <w:rPr>
          <w:b/>
          <w:i/>
          <w:color w:val="000000"/>
        </w:rPr>
        <w:t>/</w:t>
      </w:r>
      <w:proofErr w:type="spellStart"/>
      <w:r w:rsidRPr="00914D83">
        <w:rPr>
          <w:b/>
          <w:i/>
          <w:color w:val="000000"/>
        </w:rPr>
        <w:t>tmp</w:t>
      </w:r>
      <w:proofErr w:type="spellEnd"/>
      <w:r w:rsidRPr="00914D83">
        <w:rPr>
          <w:color w:val="000000"/>
        </w:rPr>
        <w:t>.</w:t>
      </w:r>
    </w:p>
    <w:p w:rsidR="000F2FA1" w:rsidRPr="000F2FA1" w:rsidRDefault="000F2FA1" w:rsidP="000F2FA1">
      <w:pPr>
        <w:shd w:val="clear" w:color="auto" w:fill="FFFFFF"/>
        <w:jc w:val="both"/>
        <w:rPr>
          <w:color w:val="000000"/>
        </w:rPr>
      </w:pP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844910">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844910">
        <w:t>.</w:t>
      </w:r>
    </w:p>
    <w:p w:rsidR="003C3604" w:rsidRDefault="003C3604" w:rsidP="003C3604">
      <w:r>
        <w:lastRenderedPageBreak/>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844910">
        <w:t>.</w:t>
      </w:r>
    </w:p>
    <w:p w:rsidR="000D0773" w:rsidRDefault="000D0773" w:rsidP="000D0773">
      <w:r>
        <w:t>.</w:t>
      </w:r>
      <w:r>
        <w:tab/>
        <w:t>Controle</w:t>
      </w:r>
      <w:r w:rsidR="0030407A">
        <w:t xml:space="preserve"> </w:t>
      </w:r>
      <w:r w:rsidR="00B469DA">
        <w:t>0</w:t>
      </w:r>
      <w:r w:rsidR="0030407A">
        <w:t>61</w:t>
      </w:r>
      <w:r>
        <w:t>: Controles c</w:t>
      </w:r>
      <w:r w:rsidR="0030407A">
        <w:t xml:space="preserve">ontra </w:t>
      </w:r>
      <w:proofErr w:type="spellStart"/>
      <w:r w:rsidR="0030407A">
        <w:t>malware</w:t>
      </w:r>
      <w:proofErr w:type="spellEnd"/>
      <w:r>
        <w:t>.</w:t>
      </w:r>
    </w:p>
    <w:p w:rsidR="000D0773" w:rsidRDefault="000D0773" w:rsidP="000D0773">
      <w:r>
        <w:tab/>
        <w:t xml:space="preserve">12.2.1 - Convém que sejam </w:t>
      </w:r>
      <w:proofErr w:type="gramStart"/>
      <w:r>
        <w:t>implementados</w:t>
      </w:r>
      <w:proofErr w:type="gramEnd"/>
      <w:r>
        <w:t xml:space="preserve"> controles de detecção, prevenção e recuperação para proteger contra </w:t>
      </w:r>
      <w:proofErr w:type="spellStart"/>
      <w:r>
        <w:t>malware</w:t>
      </w:r>
      <w:proofErr w:type="spellEnd"/>
      <w:r>
        <w:t>, combinados com um adequado programa de conscientização do usuário</w:t>
      </w:r>
      <w:r>
        <w:t>. (ABNT, NBR 27002, 2013, p.51)</w:t>
      </w:r>
      <w:r w:rsidR="00844910">
        <w:t>.</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844910">
        <w:t>.</w:t>
      </w:r>
    </w:p>
    <w:p w:rsidR="000D0773" w:rsidRDefault="000D0773" w:rsidP="000D0773">
      <w:r>
        <w:t>.</w:t>
      </w:r>
      <w:r>
        <w:tab/>
        <w:t>Controle</w:t>
      </w:r>
      <w:r w:rsidR="0030407A">
        <w:t xml:space="preserve"> 109: Proteção de registros</w:t>
      </w:r>
      <w:r>
        <w:t>.</w:t>
      </w:r>
    </w:p>
    <w:p w:rsidR="000D0773" w:rsidRDefault="000D0773" w:rsidP="000D0773">
      <w:r>
        <w:tab/>
        <w:t xml:space="preserve">18.1.3 - Convém que registros sejam protegidos contra perda, </w:t>
      </w:r>
      <w:proofErr w:type="gramStart"/>
      <w:r>
        <w:t>destruição, falsificação, acesso</w:t>
      </w:r>
      <w:proofErr w:type="gramEnd"/>
      <w:r>
        <w:t xml:space="preserve"> não autorizado e liberação não autorizada, de acordo com os requisitos regulamentares, estatutários, contratuais e do negócio</w:t>
      </w:r>
      <w:r>
        <w:t>. (ABNT, NBR 27002, 2013, p.93)</w:t>
      </w:r>
      <w:r w:rsidR="00844910">
        <w:t>.</w:t>
      </w:r>
    </w:p>
    <w:p w:rsidR="000D0773" w:rsidRDefault="000D0773" w:rsidP="000D0773">
      <w:r>
        <w:t>.</w:t>
      </w:r>
      <w:r>
        <w:tab/>
        <w:t>Controle</w:t>
      </w:r>
      <w:r w:rsidR="0030407A">
        <w:t xml:space="preserve"> 110</w:t>
      </w:r>
      <w:r>
        <w:t>: Proteção e privacidade de informaç</w:t>
      </w:r>
      <w:r w:rsidR="0030407A">
        <w:t>ões de identificação pessoal</w:t>
      </w:r>
      <w:r>
        <w:t>.</w:t>
      </w:r>
    </w:p>
    <w:p w:rsidR="000D0773" w:rsidRDefault="000D0773" w:rsidP="000D0773">
      <w:r>
        <w:tab/>
        <w:t>18.1.4 - Convém que a privacidade e a proteção das informações de identificação pessoal sejam asseguradas conforme requerido por legislação e regulamentação pertinente, quando aplicável (ABNT, NBR 27002, 2013, p.94)</w:t>
      </w:r>
      <w:r w:rsidR="00844910">
        <w:t>.</w:t>
      </w:r>
    </w:p>
    <w:p w:rsidR="003C3604" w:rsidRDefault="003C3604" w:rsidP="003C3604"/>
    <w:p w:rsidR="003C3604" w:rsidRPr="003C3604" w:rsidRDefault="003C3604" w:rsidP="003C3604">
      <w:pPr>
        <w:rPr>
          <w:b/>
        </w:rPr>
      </w:pPr>
      <w:r w:rsidRPr="003C3604">
        <w:rPr>
          <w:b/>
        </w:rPr>
        <w:t xml:space="preserve">3. </w:t>
      </w:r>
      <w:r w:rsidR="004E0B30">
        <w:rPr>
          <w:b/>
        </w:rPr>
        <w:t>Proteção dos Arquivos de LOG</w:t>
      </w:r>
    </w:p>
    <w:p w:rsidR="003C3604" w:rsidRPr="00BF463A" w:rsidRDefault="004E0B30" w:rsidP="003C3604">
      <w:pPr>
        <w:rPr>
          <w:sz w:val="24"/>
        </w:rPr>
      </w:pPr>
      <w:r>
        <w:rPr>
          <w:rFonts w:cs="Arial"/>
          <w:color w:val="000000"/>
          <w:szCs w:val="19"/>
        </w:rPr>
        <w:t>A</w:t>
      </w:r>
      <w:r w:rsidRPr="004E0B30">
        <w:rPr>
          <w:rFonts w:cs="Arial"/>
          <w:color w:val="000000"/>
          <w:szCs w:val="19"/>
        </w:rPr>
        <w:t>gora iremos proteger os logs do sistema usando o atributo de </w:t>
      </w:r>
      <w:proofErr w:type="spellStart"/>
      <w:r w:rsidRPr="004E0B30">
        <w:rPr>
          <w:rFonts w:cs="Arial"/>
          <w:b/>
          <w:bCs/>
          <w:color w:val="000000"/>
          <w:szCs w:val="19"/>
        </w:rPr>
        <w:t>append</w:t>
      </w:r>
      <w:proofErr w:type="spellEnd"/>
      <w:r w:rsidRPr="004E0B30">
        <w:rPr>
          <w:rFonts w:cs="Arial"/>
          <w:color w:val="000000"/>
          <w:szCs w:val="19"/>
        </w:rPr>
        <w:t> do sistema de arquivos. Com isso, nossos logs não poderão ser apagados, reescritos e nem modificados, apenas novos registros poderão ser inclusos.</w:t>
      </w:r>
    </w:p>
    <w:p w:rsidR="004E0B30" w:rsidRPr="00BF463A" w:rsidRDefault="004E0B30" w:rsidP="00BF463A">
      <w:pPr>
        <w:rPr>
          <w:b/>
        </w:rPr>
      </w:pP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844910">
        <w:t>.</w:t>
      </w:r>
    </w:p>
    <w:p w:rsidR="00823A31" w:rsidRDefault="00823A31" w:rsidP="00823A31">
      <w:r>
        <w:t>.</w:t>
      </w:r>
      <w:r>
        <w:tab/>
        <w:t>Controle 032: Análise crítica dos direitos de acesso de usuário.</w:t>
      </w:r>
    </w:p>
    <w:p w:rsidR="00823A31" w:rsidRDefault="00823A31" w:rsidP="00823A31">
      <w:r>
        <w:tab/>
        <w:t>9.2.5 – Convém que os proprietários de ativos analisem criticamente os direitos de acesso dos usuários a intervalos regulares. (ABNT, NBR 27002, 2013, p.28)</w:t>
      </w:r>
      <w:r w:rsidR="00844910">
        <w:t>.</w:t>
      </w:r>
    </w:p>
    <w:p w:rsidR="003C3604" w:rsidRDefault="003C3604" w:rsidP="003C3604">
      <w:r>
        <w:lastRenderedPageBreak/>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w:t>
      </w:r>
      <w:r w:rsidR="00B469DA">
        <w:t>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844910">
        <w:t>.</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r w:rsidR="00844910">
        <w:t>.</w:t>
      </w:r>
    </w:p>
    <w:p w:rsidR="00B469DA" w:rsidRDefault="00B469DA" w:rsidP="00B469DA">
      <w:r>
        <w:t>.</w:t>
      </w:r>
      <w:r>
        <w:tab/>
        <w:t xml:space="preserve">Controle 061: Controles contra </w:t>
      </w:r>
      <w:proofErr w:type="spellStart"/>
      <w:r>
        <w:t>malware</w:t>
      </w:r>
      <w:proofErr w:type="spellEnd"/>
      <w:r>
        <w:t>.</w:t>
      </w:r>
    </w:p>
    <w:p w:rsidR="00B469DA" w:rsidRDefault="00B469DA" w:rsidP="00B469DA">
      <w:r>
        <w:tab/>
        <w:t xml:space="preserve">12.2.1 - Convém que sejam </w:t>
      </w:r>
      <w:proofErr w:type="gramStart"/>
      <w:r>
        <w:t>implementados</w:t>
      </w:r>
      <w:proofErr w:type="gramEnd"/>
      <w:r>
        <w:t xml:space="preserve"> controles de detecção, prevenção e recuperação para proteger contra </w:t>
      </w:r>
      <w:proofErr w:type="spellStart"/>
      <w:r>
        <w:t>malware</w:t>
      </w:r>
      <w:proofErr w:type="spellEnd"/>
      <w:r>
        <w:t>, combinados com um adequado programa de conscientização do usuário. (ABNT, NBR 27002, 2013, p.51)</w:t>
      </w:r>
      <w:r>
        <w:t>.</w:t>
      </w:r>
    </w:p>
    <w:p w:rsidR="00B469DA" w:rsidRDefault="00B469DA" w:rsidP="00B469DA">
      <w:r>
        <w:t>.</w:t>
      </w:r>
      <w:r>
        <w:tab/>
        <w:t>Controle 063: Registro de eventos.</w:t>
      </w:r>
    </w:p>
    <w:p w:rsidR="00B469DA" w:rsidRDefault="00B469DA" w:rsidP="00B469DA">
      <w:r>
        <w:tab/>
        <w:t>12.4.1 - Convém que registros (log) de eventos das atividades do usuário, exceções, falhas e eventos de segurança da informação sejam produzidos, mantidos e analisados criticamente, a intervalos regulares</w:t>
      </w:r>
      <w:r>
        <w:t>. (ABNT, NBR 27002, 2013, p.54).</w:t>
      </w:r>
    </w:p>
    <w:p w:rsidR="00B469DA" w:rsidRDefault="00B469DA" w:rsidP="00B469DA">
      <w:r>
        <w:t>.</w:t>
      </w:r>
      <w:r>
        <w:tab/>
        <w:t>Controle 064: Proteção das informações dos registros de eventos (log).</w:t>
      </w:r>
    </w:p>
    <w:p w:rsidR="00B469DA" w:rsidRDefault="00B469DA" w:rsidP="00B469DA">
      <w:r>
        <w:tab/>
        <w:t>12.4.2 - Convém que as informações dos registros de eventos (log) e os seus recursos sejam protegidos contra acesso não autorizado e adulteração. (ABNT, NBR 27002, 2013, p.55)</w:t>
      </w:r>
      <w:r>
        <w:t>.</w:t>
      </w:r>
    </w:p>
    <w:p w:rsidR="00B469DA" w:rsidRDefault="00B469DA" w:rsidP="00B469DA">
      <w:r>
        <w:t>.</w:t>
      </w:r>
      <w:r>
        <w:tab/>
        <w:t>Controle 065: Registro de eventos (log) de administrador e operador</w:t>
      </w:r>
      <w:r>
        <w:t>.</w:t>
      </w:r>
    </w:p>
    <w:p w:rsidR="00B469DA" w:rsidRDefault="00B469DA" w:rsidP="00B469DA">
      <w:r>
        <w:tab/>
        <w:t>12.4.3 - Convém que as atividades dos administradores e operadores do sistema sejam registradas e os registros (log) protegidos e analisados criticamente, a intervalos regulares. (ABNT, NBR 27002, 2013, p.56)</w:t>
      </w:r>
      <w:r>
        <w:t>.</w:t>
      </w:r>
    </w:p>
    <w:p w:rsidR="003C3604" w:rsidRDefault="003C3604" w:rsidP="003C3604">
      <w:r>
        <w:t>.</w:t>
      </w:r>
      <w:r>
        <w:tab/>
        <w:t>Controle 078: Análise e especificação dos requisitos de segurança da informação.</w:t>
      </w:r>
    </w:p>
    <w:p w:rsidR="009736CD" w:rsidRPr="00B469DA"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B469DA">
        <w:t>.</w:t>
      </w:r>
    </w:p>
    <w:sectPr w:rsidR="009736CD" w:rsidRPr="00B469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04"/>
    <w:rsid w:val="00037722"/>
    <w:rsid w:val="000B222E"/>
    <w:rsid w:val="000D0773"/>
    <w:rsid w:val="000F2FA1"/>
    <w:rsid w:val="001966BB"/>
    <w:rsid w:val="0030407A"/>
    <w:rsid w:val="003269B2"/>
    <w:rsid w:val="003C3604"/>
    <w:rsid w:val="004E0B30"/>
    <w:rsid w:val="004F7E2E"/>
    <w:rsid w:val="0062624D"/>
    <w:rsid w:val="007048C9"/>
    <w:rsid w:val="00804199"/>
    <w:rsid w:val="00823A31"/>
    <w:rsid w:val="00844910"/>
    <w:rsid w:val="00914D83"/>
    <w:rsid w:val="00B469DA"/>
    <w:rsid w:val="00BF463A"/>
    <w:rsid w:val="00E05FCA"/>
    <w:rsid w:val="00EC49B6"/>
    <w:rsid w:val="00F65443"/>
    <w:rsid w:val="00FF20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1371</Words>
  <Characters>7406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 Luiz da Silva</dc:creator>
  <cp:lastModifiedBy>Wellington Luiz da Silva</cp:lastModifiedBy>
  <cp:revision>16</cp:revision>
  <dcterms:created xsi:type="dcterms:W3CDTF">2017-12-07T17:34:00Z</dcterms:created>
  <dcterms:modified xsi:type="dcterms:W3CDTF">2017-12-07T18:39:00Z</dcterms:modified>
</cp:coreProperties>
</file>