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before="120" w:after="120"/>
        <w:rPr/>
      </w:pPr>
      <w:r>
        <w:rPr/>
        <w:t>项目周报</w:t>
      </w:r>
    </w:p>
    <w:p>
      <w:pPr>
        <w:pStyle w:val="Heading1"/>
        <w:keepNext w:val="true"/>
        <w:bidi w:val="0"/>
        <w:spacing w:lineRule="auto" w:line="307" w:before="270" w:after="150"/>
        <w:ind w:start="270" w:end="270" w:hanging="0"/>
        <w:jc w:val="center"/>
        <w:rPr/>
      </w:pPr>
      <w:r>
        <w:rPr/>
        <w:t>多足机器人自适应</w:t>
      </w:r>
      <w:r>
        <w:rPr/>
        <w:br/>
      </w:r>
      <w:r>
        <w:rPr/>
        <w:t>直线匀速行走</w:t>
      </w:r>
    </w:p>
    <w:p>
      <w:pPr>
        <w:pStyle w:val="TextBody"/>
        <w:bidi w:val="0"/>
        <w:spacing w:before="120" w:after="120"/>
        <w:ind w:start="120" w:end="120" w:hanging="0"/>
        <w:jc w:val="both"/>
        <w:rPr/>
      </w:pPr>
      <w:r>
        <w:rPr/>
        <w:t xml:space="preserve">形态适配、缺腿验证与 </w:t>
      </w:r>
      <w:r>
        <w:rPr/>
        <w:t xml:space="preserve">500 </w:t>
      </w:r>
      <w:r>
        <w:rPr/>
        <w:t>台随机机器人批量仿真</w:t>
      </w:r>
    </w:p>
    <w:tbl>
      <w:tblPr>
        <w:tblW w:w="346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81"/>
        <w:gridCol w:w="2386"/>
      </w:tblGrid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汇报日期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 xml:space="preserve">2026 </w:t>
            </w:r>
            <w:r>
              <w:rPr/>
              <w:t xml:space="preserve">年 </w:t>
            </w:r>
            <w:r>
              <w:rPr/>
              <w:t xml:space="preserve">8 </w:t>
            </w:r>
            <w:r>
              <w:rPr/>
              <w:t xml:space="preserve">月 </w:t>
            </w:r>
            <w:r>
              <w:rPr/>
              <w:t xml:space="preserve">18 </w:t>
            </w:r>
            <w:r>
              <w:rPr/>
              <w:t>日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汇报人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________________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指导教师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________________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仿真平台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Isaac Gym GPU PhysX</w:t>
            </w:r>
          </w:p>
        </w:tc>
      </w:tr>
    </w:tbl>
    <w:p>
      <w:pPr>
        <w:pStyle w:val="Heading2"/>
        <w:bidi w:val="0"/>
        <w:jc w:val="start"/>
        <w:rPr/>
      </w:pPr>
      <w:r>
        <w:rPr/>
        <w:t>一、本周进展概述</w:t>
      </w:r>
    </w:p>
    <w:p>
      <w:pPr>
        <w:pStyle w:val="TextBody"/>
        <w:bidi w:val="0"/>
        <w:spacing w:before="120" w:after="0"/>
        <w:rPr>
          <w:bdr w:val="single" w:sz="30" w:space="14" w:color="2563EB"/>
          <w:shd w:fill="EFF6FF" w:val="clear"/>
        </w:rPr>
      </w:pPr>
      <w:r>
        <w:rPr>
          <w:bdr w:val="single" w:sz="30" w:space="14" w:color="2563EB"/>
          <w:shd w:fill="EFF6FF" w:val="clear"/>
        </w:rPr>
        <w:t xml:space="preserve">本周完成了从机器人形态解析、静态稳定性筛选、候选步态生成、仿真闭环选优、长时轨迹验收到批量报告的完整流程。定向回归案例全部通过；在更严格的 </w:t>
      </w:r>
      <w:r>
        <w:rPr>
          <w:bdr w:val="single" w:sz="30" w:space="14" w:color="2563EB"/>
          <w:shd w:fill="EFF6FF" w:val="clear"/>
        </w:rPr>
        <w:t xml:space="preserve">500 </w:t>
      </w:r>
      <w:r>
        <w:rPr>
          <w:bdr w:val="single" w:sz="30" w:space="14" w:color="2563EB"/>
          <w:shd w:fill="EFF6FF" w:val="clear"/>
        </w:rPr>
        <w:t>台随机机器人泛化测试中，</w:t>
      </w:r>
      <w:r>
        <w:rPr>
          <w:bdr w:val="single" w:sz="30" w:space="14" w:color="2563EB"/>
          <w:shd w:fill="EFF6FF" w:val="clear"/>
        </w:rPr>
        <w:t xml:space="preserve">223 </w:t>
      </w:r>
      <w:r>
        <w:rPr>
          <w:bdr w:val="single" w:sz="30" w:space="14" w:color="2563EB"/>
          <w:shd w:fill="EFF6FF" w:val="clear"/>
        </w:rPr>
        <w:t xml:space="preserve">台通过全部直线匀速标准，总体通过率为 </w:t>
      </w:r>
      <w:r>
        <w:rPr>
          <w:bdr w:val="single" w:sz="30" w:space="14" w:color="2563EB"/>
          <w:shd w:fill="EFF6FF" w:val="clear"/>
        </w:rPr>
        <w:t>44.6%</w:t>
      </w:r>
      <w:r>
        <w:rPr>
          <w:bdr w:val="single" w:sz="30" w:space="14" w:color="2563EB"/>
          <w:shd w:fill="EFF6FF" w:val="clear"/>
        </w:rPr>
        <w:t xml:space="preserve">。 </w:t>
      </w:r>
    </w:p>
    <w:tbl>
      <w:tblPr>
        <w:tblW w:w="777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96"/>
        <w:gridCol w:w="1381"/>
        <w:gridCol w:w="2251"/>
        <w:gridCol w:w="2746"/>
      </w:tblGrid>
      <w:tr>
        <w:trPr/>
        <w:tc>
          <w:tcPr>
            <w:tcW w:w="139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>
                <w:rStyle w:val="StrongEmphasis"/>
              </w:rPr>
              <w:t>1/1</w:t>
            </w:r>
            <w:r>
              <w:rPr/>
              <w:t>标准六足</w:t>
            </w:r>
          </w:p>
        </w:tc>
        <w:tc>
          <w:tcPr>
            <w:tcW w:w="13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>
                <w:rStyle w:val="StrongEmphasis"/>
              </w:rPr>
              <w:t>6/6</w:t>
            </w:r>
            <w:r>
              <w:rPr/>
              <w:t>单腿缺失</w:t>
            </w:r>
          </w:p>
        </w:tc>
        <w:tc>
          <w:tcPr>
            <w:tcW w:w="22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>
                <w:rStyle w:val="StrongEmphasis"/>
              </w:rPr>
              <w:t>11/11</w:t>
            </w:r>
            <w:r>
              <w:rPr/>
              <w:t>双腿缺失代表集</w:t>
            </w:r>
          </w:p>
        </w:tc>
        <w:tc>
          <w:tcPr>
            <w:tcW w:w="27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>
                <w:rStyle w:val="StrongEmphasis"/>
              </w:rPr>
              <w:t>223/500</w:t>
            </w:r>
            <w:r>
              <w:rPr/>
              <w:t>随机批测严格通过</w:t>
            </w:r>
          </w:p>
        </w:tc>
      </w:tr>
    </w:tbl>
    <w:p>
      <w:pPr>
        <w:pStyle w:val="TextBody"/>
        <w:bidi w:val="0"/>
        <w:spacing w:before="120" w:after="120"/>
        <w:ind w:start="120" w:end="120" w:hanging="0"/>
        <w:jc w:val="both"/>
        <w:rPr/>
      </w:pPr>
      <w:r>
        <w:rPr/>
        <w:t>当前已经证明算法能够处理标准六足、缺腿构型和部分未知多足构型，但大规模结果也表明尚不能宣称对所有任意构型普适。现阶段主要瓶颈从“能否产生周期运动”转变为“能否选择正确行走方向并抑制侧向漂移”。</w:t>
      </w:r>
    </w:p>
    <w:p>
      <w:pPr>
        <w:pStyle w:val="TextBody"/>
        <w:bidi w:val="0"/>
        <w:spacing w:before="120" w:after="120"/>
        <w:ind w:start="120" w:end="120" w:hanging="0"/>
        <w:jc w:val="both"/>
        <w:rPr/>
      </w:pPr>
      <w:r>
        <w:rPr/>
        <w:drawing>
          <wp:inline distT="0" distB="0" distL="0" distR="0">
            <wp:extent cx="6191250" cy="2933700"/>
            <wp:effectExtent l="0" t="0" r="0" b="0"/>
            <wp:docPr id="1" name="Image1" descr="" title="定向回归与大规模验证通过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定向回归与大规模验证通过率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 xml:space="preserve">图 </w:t>
      </w:r>
      <w:r>
        <w:rPr/>
        <w:t>1</w:t>
      </w:r>
      <w:r>
        <w:rPr/>
        <w:t xml:space="preserve">　定向回归验证与 </w:t>
      </w:r>
      <w:r>
        <w:rPr/>
        <w:t xml:space="preserve">500 </w:t>
      </w:r>
      <w:r>
        <w:rPr/>
        <w:t xml:space="preserve">台随机泛化测试的结果对比。小样本全通过不等同于整体泛化成功。 </w:t>
      </w:r>
    </w:p>
    <w:p>
      <w:pPr>
        <w:pStyle w:val="Heading2"/>
        <w:bidi w:val="0"/>
        <w:jc w:val="start"/>
        <w:rPr/>
      </w:pPr>
      <w:r>
        <w:rPr/>
        <w:t>二、算法与工程改进</w:t>
      </w:r>
    </w:p>
    <w:p>
      <w:pPr>
        <w:pStyle w:val="TextBody"/>
        <w:bidi w:val="0"/>
        <w:spacing w:before="210" w:after="300"/>
        <w:ind w:start="210" w:end="210" w:hanging="0"/>
        <w:jc w:val="center"/>
        <w:rPr>
          <w:color w:val="FFFFFF"/>
          <w:shd w:fill="2B6CB0" w:val="clear"/>
        </w:rPr>
      </w:pPr>
      <w:r>
        <w:rPr>
          <w:b/>
          <w:color w:val="FFFFFF"/>
          <w:shd w:fill="2B6CB0" w:val="clear"/>
        </w:rPr>
        <w:t xml:space="preserve">形态解析　→　静态 </w:t>
      </w:r>
      <w:r>
        <w:rPr>
          <w:b/>
          <w:color w:val="FFFFFF"/>
          <w:shd w:fill="2B6CB0" w:val="clear"/>
        </w:rPr>
        <w:t xml:space="preserve">SSM </w:t>
      </w:r>
      <w:r>
        <w:rPr>
          <w:b/>
          <w:color w:val="FFFFFF"/>
          <w:shd w:fill="2B6CB0" w:val="clear"/>
        </w:rPr>
        <w:t>门控　→　方向与步态候选　→　短时仿真排序　→　</w:t>
      </w:r>
      <w:r>
        <w:rPr>
          <w:b/>
          <w:color w:val="FFFFFF"/>
          <w:shd w:fill="2B6CB0" w:val="clear"/>
        </w:rPr>
        <w:t xml:space="preserve">1200 </w:t>
      </w:r>
      <w:r>
        <w:rPr>
          <w:b/>
          <w:color w:val="FFFFFF"/>
          <w:shd w:fill="2B6CB0" w:val="clear"/>
        </w:rPr>
        <w:t>步长时确认　→　轨迹与报告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/>
        <w:t>形态无关的行走方向与步态选择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rPr/>
      </w:pPr>
      <w:r>
        <w:rPr/>
        <w:t xml:space="preserve">从足端分布、支撑多边形和机身主轴生成主轴、侧轴、对角轴及反向轴候选。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rPr/>
      </w:pPr>
      <w:r>
        <w:rPr/>
        <w:t xml:space="preserve">每个方向尝试交替步态、传统正弦步态和相位交换步态，通过短时仿真评分后选择候选。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start="829" w:end="120" w:hanging="283"/>
        <w:rPr/>
      </w:pPr>
      <w:r>
        <w:rPr/>
        <w:t xml:space="preserve">根据机器人实际位移闭环重估前进方向，并对方向正确但速度不足的构型增加速度补偿。 </w:t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/>
        <w:t>缺腿构型的安全处理与姿态稳定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rPr/>
      </w:pPr>
      <w:r>
        <w:rPr/>
        <w:t xml:space="preserve">删除指定腿时同步重编号连杆、关节和腿拓扑，检查重名及悬空连接。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rPr/>
      </w:pPr>
      <w:r>
        <w:rPr/>
        <w:t xml:space="preserve">复位时恢复完整刚体状态并清零速度，避免前一候选的跌倒状态污染后续测试。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start="829" w:end="120" w:hanging="283"/>
        <w:rPr/>
      </w:pPr>
      <w:r>
        <w:rPr/>
        <w:t xml:space="preserve">增加缺腿侧姿态调平和支撑相重叠；标准六足采用三角步态，非标准构型自动采用交替步态。 </w:t>
      </w:r>
    </w:p>
    <w:p>
      <w:pPr>
        <w:pStyle w:val="TextBody"/>
        <w:bidi w:val="0"/>
        <w:rPr/>
      </w:pPr>
      <w:r>
        <w:rPr/>
        <w:drawing>
          <wp:inline distT="0" distB="0" distL="0" distR="0">
            <wp:extent cx="6191250" cy="1781175"/>
            <wp:effectExtent l="0" t="0" r="0" b="0"/>
            <wp:docPr id="2" name="Image2" descr="" title="标准六足及缺腿支撑多边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标准六足及缺腿支撑多边形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 xml:space="preserve">图 </w:t>
      </w:r>
      <w:r>
        <w:rPr/>
        <w:t>2</w:t>
      </w:r>
      <w:r>
        <w:rPr/>
        <w:t xml:space="preserve">　由最终机器人描述文件重建的足端与支撑多边形。红色方块为足端，绿色区域为支撑凸包，蓝色叉号为机身中心。 </w:t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/>
        <w:t>统一的直线匀速验收标准</w:t>
      </w:r>
    </w:p>
    <w:p>
      <w:pPr>
        <w:pStyle w:val="TextBody"/>
        <w:bidi w:val="0"/>
        <w:spacing w:before="120" w:after="120"/>
        <w:ind w:start="120" w:end="120" w:hanging="0"/>
        <w:jc w:val="both"/>
        <w:rPr/>
      </w:pPr>
      <w:r>
        <w:rPr/>
        <w:t xml:space="preserve">所有最终确认均运行 </w:t>
      </w:r>
      <w:r>
        <w:rPr/>
        <w:t xml:space="preserve">1200 </w:t>
      </w:r>
      <w:r>
        <w:rPr/>
        <w:t>步（</w:t>
      </w:r>
      <w:r>
        <w:rPr/>
        <w:t>60 Hz</w:t>
      </w:r>
      <w:r>
        <w:rPr/>
        <w:t xml:space="preserve">，共 </w:t>
      </w:r>
      <w:r>
        <w:rPr/>
        <w:t>20 s</w:t>
      </w:r>
      <w:r>
        <w:rPr/>
        <w:t xml:space="preserve">），去除前 </w:t>
      </w:r>
      <w:r>
        <w:rPr/>
        <w:t xml:space="preserve">20% </w:t>
      </w:r>
      <w:r>
        <w:rPr/>
        <w:t>启动阶段后计算稳态指标。以下七项必须全部满足：</w:t>
      </w:r>
    </w:p>
    <w:tbl>
      <w:tblPr>
        <w:tblW w:w="615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31"/>
        <w:gridCol w:w="1441"/>
        <w:gridCol w:w="2581"/>
      </w:tblGrid>
      <w:tr>
        <w:trPr/>
        <w:tc>
          <w:tcPr>
            <w:tcW w:w="21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指标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通过条件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意义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前向平均速度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 xml:space="preserve">≥ </w:t>
            </w:r>
            <w:r>
              <w:rPr/>
              <w:t>0.020 m/s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排除原地踏步或位移过小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侧向平均速度绝对值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 xml:space="preserve">≤ </w:t>
            </w:r>
            <w:r>
              <w:rPr/>
              <w:t>0.020 m/s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限制横向平移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漂移比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 xml:space="preserve">≤ </w:t>
            </w:r>
            <w:r>
              <w:rPr/>
              <w:t>0.25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侧向速度</w:t>
            </w:r>
            <w:r>
              <w:rPr/>
              <w:t>/</w:t>
            </w:r>
            <w:r>
              <w:rPr/>
              <w:t>前向速度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实际行进方向误差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 xml:space="preserve">≤ </w:t>
            </w:r>
            <w:r>
              <w:rPr/>
              <w:t>12°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限制弧线或错误方向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 xml:space="preserve">周期平均速度 </w:t>
            </w:r>
            <w:r>
              <w:rPr/>
              <w:t>CV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 xml:space="preserve">≤ </w:t>
            </w:r>
            <w:r>
              <w:rPr/>
              <w:t>0.35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衡量周期之间的匀速性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机身高度标准差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 xml:space="preserve">≤ </w:t>
            </w:r>
            <w:r>
              <w:rPr/>
              <w:t>0.035 m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限制上下振荡</w:t>
            </w:r>
          </w:p>
        </w:tc>
      </w:tr>
      <w:tr>
        <w:trPr/>
        <w:tc>
          <w:tcPr>
            <w:tcW w:w="21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平均机身高度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 xml:space="preserve">≥ </w:t>
            </w:r>
            <w:r>
              <w:rPr/>
              <w:t>0.20 m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排除倒地滑行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4. </w:t>
      </w:r>
      <w:r>
        <w:rPr/>
        <w:t>路径图和批测工具修正</w:t>
      </w:r>
    </w:p>
    <w:p>
      <w:pPr>
        <w:pStyle w:val="TextBody"/>
        <w:bidi w:val="0"/>
        <w:spacing w:before="120" w:after="120"/>
        <w:ind w:start="120" w:end="120" w:hanging="0"/>
        <w:jc w:val="both"/>
        <w:rPr/>
      </w:pPr>
      <w:r>
        <w:rPr/>
        <w:t xml:space="preserve">轨迹不再直接以世界坐标 </w:t>
      </w:r>
      <w:r>
        <w:rPr/>
        <w:t xml:space="preserve">X/Y </w:t>
      </w:r>
      <w:r>
        <w:rPr/>
        <w:t xml:space="preserve">作为前进与横向距离，而是投影到每台机器人自动选择的“前进轴—侧向轴”坐标系。图中加入起点、终点、期望路径和漂移比 </w:t>
      </w:r>
      <w:r>
        <w:rPr/>
        <w:t xml:space="preserve">0.25 </w:t>
      </w:r>
      <w:r>
        <w:rPr/>
        <w:t xml:space="preserve">参考区域；使用轨迹 </w:t>
      </w:r>
      <w:r>
        <w:rPr/>
        <w:t xml:space="preserve">JSON </w:t>
      </w:r>
      <w:r>
        <w:rPr/>
        <w:t xml:space="preserve">重新投影核验后，终点指标误差为 </w:t>
      </w:r>
      <w:r>
        <w:rPr/>
        <w:t>0</w:t>
      </w:r>
      <w:r>
        <w:rPr/>
        <w:t>。</w:t>
      </w:r>
    </w:p>
    <w:p>
      <w:pPr>
        <w:pStyle w:val="TextBody"/>
        <w:bidi w:val="0"/>
        <w:spacing w:before="120" w:after="120"/>
        <w:ind w:start="120" w:end="120" w:hanging="0"/>
        <w:jc w:val="both"/>
        <w:rPr/>
      </w:pPr>
      <w:r>
        <w:rPr/>
        <w:drawing>
          <wp:inline distT="0" distB="0" distL="0" distR="0">
            <wp:extent cx="4095750" cy="7400925"/>
            <wp:effectExtent l="0" t="0" r="0" b="0"/>
            <wp:docPr id="3" name="Image3" descr="" title="标准六足轨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标准六足轨迹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 xml:space="preserve">图 </w:t>
      </w:r>
      <w:r>
        <w:rPr/>
        <w:t>3</w:t>
      </w:r>
      <w:r>
        <w:rPr/>
        <w:t xml:space="preserve">　标准六足真实仿真轨迹。蓝色虚线为期望路径，橙线为根机身轨迹，阴影为漂移比 </w:t>
      </w:r>
      <w:r>
        <w:rPr/>
        <w:t xml:space="preserve">0.25 </w:t>
      </w:r>
      <w:r>
        <w:rPr/>
        <w:t xml:space="preserve">参考区域。 </w:t>
      </w:r>
    </w:p>
    <w:p>
      <w:pPr>
        <w:pStyle w:val="Heading2"/>
        <w:bidi w:val="0"/>
        <w:jc w:val="start"/>
        <w:rPr/>
      </w:pPr>
      <w:r>
        <w:rPr/>
        <w:t>三、标准六足与缺腿构型验证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/>
        <w:t>标准六足</w:t>
      </w:r>
    </w:p>
    <w:tbl>
      <w:tblPr>
        <w:tblW w:w="821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81"/>
        <w:gridCol w:w="1066"/>
        <w:gridCol w:w="1186"/>
        <w:gridCol w:w="1186"/>
        <w:gridCol w:w="856"/>
        <w:gridCol w:w="1066"/>
        <w:gridCol w:w="961"/>
        <w:gridCol w:w="811"/>
      </w:tblGrid>
      <w:tr>
        <w:trPr/>
        <w:tc>
          <w:tcPr>
            <w:tcW w:w="10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构型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SSM (m)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前向速度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侧向速度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漂移比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方向误差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 xml:space="preserve">速度 </w:t>
            </w:r>
            <w:r>
              <w:rPr/>
              <w:t>CV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结果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标准六足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0.580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0.212 m/s</w:t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0.004 m/s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0.019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1.07°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0.066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>
                <w:b/>
                <w:color w:val="0B7A37"/>
              </w:rPr>
            </w:pPr>
            <w:r>
              <w:rPr>
                <w:b/>
                <w:color w:val="0B7A37"/>
              </w:rPr>
              <w:t>PASS</w:t>
            </w:r>
          </w:p>
        </w:tc>
      </w:tr>
    </w:tbl>
    <w:p>
      <w:pPr>
        <w:pStyle w:val="TextBody"/>
        <w:bidi w:val="0"/>
        <w:spacing w:before="120" w:after="120"/>
        <w:ind w:start="120" w:end="120" w:hanging="0"/>
        <w:jc w:val="both"/>
        <w:rPr/>
      </w:pPr>
      <w:r>
        <w:rPr/>
        <w:t>标准六足通过全部七项标准；</w:t>
      </w:r>
      <w:r>
        <w:rPr/>
        <w:t xml:space="preserve">20 s </w:t>
      </w:r>
      <w:r>
        <w:rPr/>
        <w:t xml:space="preserve">仿真中的前向位移约为 </w:t>
      </w:r>
      <w:r>
        <w:rPr/>
        <w:t>3.85 m</w:t>
      </w:r>
      <w:r>
        <w:rPr/>
        <w:t xml:space="preserve">，横向位移约为 </w:t>
      </w:r>
      <w:r>
        <w:rPr/>
        <w:t>0.013 m</w:t>
      </w:r>
      <w:r>
        <w:rPr/>
        <w:t>。</w:t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/>
        <w:t>单腿缺失：</w:t>
      </w:r>
      <w:r>
        <w:rPr/>
        <w:t>6/6 PASS</w:t>
      </w:r>
    </w:p>
    <w:tbl>
      <w:tblPr>
        <w:tblW w:w="699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71"/>
        <w:gridCol w:w="1066"/>
        <w:gridCol w:w="1066"/>
        <w:gridCol w:w="1066"/>
        <w:gridCol w:w="856"/>
        <w:gridCol w:w="1066"/>
        <w:gridCol w:w="1006"/>
      </w:tblGrid>
      <w:tr>
        <w:trPr/>
        <w:tc>
          <w:tcPr>
            <w:tcW w:w="8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缺失腿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SSM (m)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前向速度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侧向速度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漂移比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方向误差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 xml:space="preserve">速度 </w:t>
            </w:r>
            <w:r>
              <w:rPr/>
              <w:t>CV</w:t>
            </w:r>
          </w:p>
        </w:tc>
      </w:tr>
      <w:tr>
        <w:trPr/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0.331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0.161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0.010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0.059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3.40°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0.086</w:t>
            </w:r>
          </w:p>
        </w:tc>
      </w:tr>
      <w:tr>
        <w:trPr/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1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0.510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0.087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0.008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0.088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5.01°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0.085</w:t>
            </w:r>
          </w:p>
        </w:tc>
      </w:tr>
      <w:tr>
        <w:trPr/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2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0.331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0.059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0.005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0.079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4.51°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0.092</w:t>
            </w:r>
          </w:p>
        </w:tc>
      </w:tr>
      <w:tr>
        <w:trPr/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3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0.331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0.068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-0.007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0.102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5.80°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0.147</w:t>
            </w:r>
          </w:p>
        </w:tc>
      </w:tr>
      <w:tr>
        <w:trPr/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4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0.510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0.085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-0.008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0.091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5.23°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0.103</w:t>
            </w:r>
          </w:p>
        </w:tc>
      </w:tr>
      <w:tr>
        <w:trPr/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5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0.331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0.165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-0.010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0.062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3.53°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0.069</w:t>
            </w:r>
          </w:p>
        </w:tc>
      </w:tr>
    </w:tbl>
    <w:p>
      <w:pPr>
        <w:pStyle w:val="TextBody"/>
        <w:bidi w:val="0"/>
        <w:spacing w:before="120" w:after="120"/>
        <w:ind w:start="120" w:end="120" w:hanging="0"/>
        <w:jc w:val="both"/>
        <w:rPr/>
      </w:pPr>
      <w:r>
        <w:rPr/>
        <w:t xml:space="preserve">前向速度范围为 </w:t>
      </w:r>
      <w:r>
        <w:rPr/>
        <w:t>0.059–0.165 m/s</w:t>
      </w:r>
      <w:r>
        <w:rPr/>
        <w:t xml:space="preserve">，最大漂移比为 </w:t>
      </w:r>
      <w:r>
        <w:rPr/>
        <w:t>0.102</w:t>
      </w:r>
      <w:r>
        <w:rPr/>
        <w:t xml:space="preserve">，最大周期速度 </w:t>
      </w:r>
      <w:r>
        <w:rPr/>
        <w:t xml:space="preserve">CV </w:t>
      </w:r>
      <w:r>
        <w:rPr/>
        <w:t xml:space="preserve">为 </w:t>
      </w:r>
      <w:r>
        <w:rPr/>
        <w:t>0.147</w:t>
      </w:r>
      <w:r>
        <w:rPr/>
        <w:t>。</w:t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/>
        <w:t>双腿缺失代表集：</w:t>
      </w:r>
      <w:r>
        <w:rPr/>
        <w:t>11/11 PASS</w:t>
      </w:r>
    </w:p>
    <w:tbl>
      <w:tblPr>
        <w:tblW w:w="762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81"/>
        <w:gridCol w:w="1066"/>
        <w:gridCol w:w="1066"/>
        <w:gridCol w:w="856"/>
        <w:gridCol w:w="1066"/>
        <w:gridCol w:w="961"/>
        <w:gridCol w:w="1531"/>
      </w:tblGrid>
      <w:tr>
        <w:trPr/>
        <w:tc>
          <w:tcPr>
            <w:tcW w:w="10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缺失组合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前向速度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侧向速度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漂移比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方向误差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 xml:space="preserve">速度 </w:t>
            </w:r>
            <w:r>
              <w:rPr/>
              <w:t>CV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最终候选类型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</w:t>
            </w:r>
            <w:r>
              <w:rPr/>
              <w:t>、</w:t>
            </w:r>
            <w:r>
              <w:rPr/>
              <w:t>1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0.029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-0.002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0.062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3.58°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0.078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侧轴交替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</w:t>
            </w:r>
            <w:r>
              <w:rPr/>
              <w:t>、</w:t>
            </w:r>
            <w:r>
              <w:rPr/>
              <w:t>2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0.027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-0.003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0.101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5.80°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0.148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相位交换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</w:t>
            </w:r>
            <w:r>
              <w:rPr/>
              <w:t>、</w:t>
            </w:r>
            <w:r>
              <w:rPr/>
              <w:t>3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0.170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-0.010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0.061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3.51°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0.196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正弦步态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</w:t>
            </w:r>
            <w:r>
              <w:rPr/>
              <w:t>、</w:t>
            </w:r>
            <w:r>
              <w:rPr/>
              <w:t>5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0.028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-0.005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0.191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10.81°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0.079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正弦步态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1</w:t>
            </w:r>
            <w:r>
              <w:rPr/>
              <w:t>、</w:t>
            </w:r>
            <w:r>
              <w:rPr/>
              <w:t>2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0.030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0.002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0.064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3.68°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0.168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侧轴交替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1</w:t>
            </w:r>
            <w:r>
              <w:rPr/>
              <w:t>、</w:t>
            </w:r>
            <w:r>
              <w:rPr/>
              <w:t>4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0.135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0.009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0.067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3.84°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0.109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交替步态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2</w:t>
            </w:r>
            <w:r>
              <w:rPr/>
              <w:t>、</w:t>
            </w:r>
            <w:r>
              <w:rPr/>
              <w:t>3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0.027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-0.005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0.179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10.15°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0.077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反向轴正弦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2</w:t>
            </w:r>
            <w:r>
              <w:rPr/>
              <w:t>、</w:t>
            </w:r>
            <w:r>
              <w:rPr/>
              <w:t>5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0.147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-0.006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0.041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2.33°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0.080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交替步态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3</w:t>
            </w:r>
            <w:r>
              <w:rPr/>
              <w:t>、</w:t>
            </w:r>
            <w:r>
              <w:rPr/>
              <w:t>4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0.039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-0.005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0.117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6.65°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0.223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方向闭环修正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3</w:t>
            </w:r>
            <w:r>
              <w:rPr/>
              <w:t>、</w:t>
            </w:r>
            <w:r>
              <w:rPr/>
              <w:t>5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0.028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0.005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0.196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11.11°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0.158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补充确认</w:t>
            </w:r>
          </w:p>
        </w:tc>
      </w:tr>
      <w:tr>
        <w:trPr/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4</w:t>
            </w:r>
            <w:r>
              <w:rPr/>
              <w:t>、</w:t>
            </w:r>
            <w:r>
              <w:rPr/>
              <w:t>5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0.038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-0.000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0.009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0.49°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0.091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方向闭环修正</w:t>
            </w:r>
          </w:p>
        </w:tc>
      </w:tr>
    </w:tbl>
    <w:p>
      <w:pPr>
        <w:pStyle w:val="TextBody"/>
        <w:bidi w:val="0"/>
        <w:spacing w:before="120" w:after="120"/>
        <w:ind w:start="120" w:end="120" w:hanging="0"/>
        <w:jc w:val="both"/>
        <w:rPr/>
      </w:pPr>
      <w:r>
        <w:rPr/>
        <w:t xml:space="preserve">双腿缺失构型速度范围为 </w:t>
      </w:r>
      <w:r>
        <w:rPr/>
        <w:t>0.027–0.170 m/s</w:t>
      </w:r>
      <w:r>
        <w:rPr/>
        <w:t>。部分构型需要侧向或反向行走才能通过，说明严重不对称机器人不能固定使用机身正前方作为行走方向。</w:t>
      </w:r>
    </w:p>
    <w:p>
      <w:pPr>
        <w:pStyle w:val="Heading3"/>
        <w:bidi w:val="0"/>
        <w:jc w:val="start"/>
        <w:rPr/>
      </w:pPr>
      <w:r>
        <w:rPr/>
        <w:t xml:space="preserve">4. </w:t>
      </w:r>
      <w:r>
        <w:rPr/>
        <w:t>任意生成构型定向验证：</w:t>
      </w:r>
      <w:r>
        <w:rPr/>
        <w:t>5/5 PASS</w:t>
      </w:r>
    </w:p>
    <w:tbl>
      <w:tblPr>
        <w:tblW w:w="749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86"/>
        <w:gridCol w:w="646"/>
        <w:gridCol w:w="1066"/>
        <w:gridCol w:w="856"/>
        <w:gridCol w:w="1066"/>
        <w:gridCol w:w="961"/>
        <w:gridCol w:w="811"/>
      </w:tblGrid>
      <w:tr>
        <w:trPr/>
        <w:tc>
          <w:tcPr>
            <w:tcW w:w="20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机器人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腿数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前向速度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漂移比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方向误差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 xml:space="preserve">速度 </w:t>
            </w:r>
            <w:r>
              <w:rPr/>
              <w:t>CV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结果</w:t>
            </w:r>
          </w:p>
        </w:tc>
      </w:tr>
      <w:tr>
        <w:trPr/>
        <w:tc>
          <w:tcPr>
            <w:tcW w:w="20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robot_00_seed7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8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0.021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0.035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2.00°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0.253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>
                <w:b/>
                <w:color w:val="0B7A37"/>
              </w:rPr>
            </w:pPr>
            <w:r>
              <w:rPr>
                <w:b/>
                <w:color w:val="0B7A37"/>
              </w:rPr>
              <w:t>PASS</w:t>
            </w:r>
          </w:p>
        </w:tc>
      </w:tr>
      <w:tr>
        <w:trPr/>
        <w:tc>
          <w:tcPr>
            <w:tcW w:w="20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robot_01_seed42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8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0.044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0.206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11.61°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0.050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>
                <w:b/>
                <w:color w:val="0B7A37"/>
              </w:rPr>
            </w:pPr>
            <w:r>
              <w:rPr>
                <w:b/>
                <w:color w:val="0B7A37"/>
              </w:rPr>
              <w:t>PASS</w:t>
            </w:r>
          </w:p>
        </w:tc>
      </w:tr>
      <w:tr>
        <w:trPr/>
        <w:tc>
          <w:tcPr>
            <w:tcW w:w="20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robot_02_seed137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9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0.080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0.060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3.41°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0.184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>
                <w:b/>
                <w:color w:val="0B7A37"/>
              </w:rPr>
            </w:pPr>
            <w:r>
              <w:rPr>
                <w:b/>
                <w:color w:val="0B7A37"/>
              </w:rPr>
              <w:t>PASS</w:t>
            </w:r>
          </w:p>
        </w:tc>
      </w:tr>
      <w:tr>
        <w:trPr/>
        <w:tc>
          <w:tcPr>
            <w:tcW w:w="20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robot_03_seed256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8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0.068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0.144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8.18°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0.097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>
                <w:b/>
                <w:color w:val="0B7A37"/>
              </w:rPr>
            </w:pPr>
            <w:r>
              <w:rPr>
                <w:b/>
                <w:color w:val="0B7A37"/>
              </w:rPr>
              <w:t>PASS</w:t>
            </w:r>
          </w:p>
        </w:tc>
      </w:tr>
      <w:tr>
        <w:trPr/>
        <w:tc>
          <w:tcPr>
            <w:tcW w:w="208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robot_04_seed512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6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0.118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0.037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2.13°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0.064</w:t>
            </w:r>
          </w:p>
        </w:tc>
        <w:tc>
          <w:tcPr>
            <w:tcW w:w="81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>
                <w:b/>
                <w:color w:val="0B7A37"/>
              </w:rPr>
            </w:pPr>
            <w:r>
              <w:rPr>
                <w:b/>
                <w:color w:val="0B7A37"/>
              </w:rPr>
              <w:t>PASS</w:t>
            </w:r>
          </w:p>
        </w:tc>
      </w:tr>
    </w:tbl>
    <w:p>
      <w:pPr>
        <w:pStyle w:val="TextBody"/>
        <w:bidi w:val="0"/>
        <w:rPr>
          <w:color w:val="744210"/>
          <w:bdr w:val="single" w:sz="2" w:space="8" w:color="F2D394"/>
          <w:shd w:fill="FFF8E6" w:val="clear"/>
        </w:rPr>
      </w:pPr>
      <w:r>
        <w:rPr>
          <w:color w:val="744210"/>
          <w:bdr w:val="single" w:sz="2" w:space="8" w:color="F2D394"/>
          <w:shd w:fill="FFF8E6" w:val="clear"/>
        </w:rPr>
        <w:t>“</w:t>
      </w:r>
      <w:r>
        <w:rPr>
          <w:color w:val="744210"/>
          <w:bdr w:val="single" w:sz="2" w:space="8" w:color="F2D394"/>
          <w:shd w:fill="FFF8E6" w:val="clear"/>
        </w:rPr>
        <w:t>任意机器人”在本项目中指描述格式能够表达、关节和足端拓扑有效且物理上可行的多足构型，并不包含无稳定支撑、关节不可达等物理不可行情况。</w:t>
      </w:r>
    </w:p>
    <w:p>
      <w:pPr>
        <w:pStyle w:val="Heading2"/>
        <w:bidi w:val="0"/>
        <w:jc w:val="start"/>
        <w:rPr/>
      </w:pPr>
      <w:r>
        <w:rPr/>
        <w:t>四、</w:t>
      </w:r>
      <w:r>
        <w:rPr/>
        <w:t xml:space="preserve">500 </w:t>
      </w:r>
      <w:r>
        <w:rPr/>
        <w:t>台随机机器人大规模验证</w:t>
      </w:r>
    </w:p>
    <w:p>
      <w:pPr>
        <w:pStyle w:val="TextBody"/>
        <w:bidi w:val="0"/>
        <w:spacing w:before="120" w:after="120"/>
        <w:ind w:start="120" w:end="120" w:hanging="0"/>
        <w:jc w:val="both"/>
        <w:rPr/>
      </w:pPr>
      <w:r>
        <w:rPr/>
        <w:t xml:space="preserve">使用固定随机源 </w:t>
      </w:r>
      <w:r>
        <w:rPr>
          <w:rStyle w:val="SourceText"/>
        </w:rPr>
        <w:t>20260818</w:t>
      </w:r>
      <w:r>
        <w:rPr/>
        <w:t xml:space="preserve"> </w:t>
      </w:r>
      <w:r>
        <w:rPr/>
        <w:t xml:space="preserve">生成 </w:t>
      </w:r>
      <w:r>
        <w:rPr/>
        <w:t xml:space="preserve">500 </w:t>
      </w:r>
      <w:r>
        <w:rPr/>
        <w:t xml:space="preserve">台 </w:t>
      </w:r>
      <w:r>
        <w:rPr/>
        <w:t xml:space="preserve">4–10 </w:t>
      </w:r>
      <w:r>
        <w:rPr/>
        <w:t xml:space="preserve">腿机器人，另外加入 </w:t>
      </w:r>
      <w:r>
        <w:rPr/>
        <w:t xml:space="preserve">1 </w:t>
      </w:r>
      <w:r>
        <w:rPr/>
        <w:t>台标准六足参照。标准六足不计入以下随机样本统计。</w:t>
      </w:r>
    </w:p>
    <w:tbl>
      <w:tblPr>
        <w:tblW w:w="70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51"/>
        <w:gridCol w:w="1846"/>
        <w:gridCol w:w="1561"/>
        <w:gridCol w:w="1951"/>
      </w:tblGrid>
      <w:tr>
        <w:trPr/>
        <w:tc>
          <w:tcPr>
            <w:tcW w:w="16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>
                <w:rStyle w:val="StrongEmphasis"/>
              </w:rPr>
              <w:t>500</w:t>
            </w:r>
            <w:r>
              <w:rPr/>
              <w:t>随机机器人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>
                <w:rStyle w:val="StrongEmphasis"/>
              </w:rPr>
              <w:t>454</w:t>
            </w:r>
            <w:r>
              <w:rPr/>
              <w:t>进入动态仿真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>
                <w:rStyle w:val="StrongEmphasis"/>
              </w:rPr>
              <w:t>223</w:t>
            </w:r>
            <w:r>
              <w:rPr/>
              <w:t xml:space="preserve">严格 </w:t>
            </w:r>
            <w:r>
              <w:rPr/>
              <w:t>PASS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>
                <w:rStyle w:val="StrongEmphasis"/>
              </w:rPr>
              <w:t>44.6%</w:t>
            </w:r>
            <w:r>
              <w:rPr/>
              <w:t>总体通过率</w:t>
            </w:r>
          </w:p>
        </w:tc>
      </w:tr>
    </w:tbl>
    <w:tbl>
      <w:tblPr>
        <w:tblW w:w="538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81"/>
        <w:gridCol w:w="646"/>
        <w:gridCol w:w="1561"/>
      </w:tblGrid>
      <w:tr>
        <w:trPr/>
        <w:tc>
          <w:tcPr>
            <w:tcW w:w="31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项目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数量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 xml:space="preserve">占 </w:t>
            </w:r>
            <w:r>
              <w:rPr/>
              <w:t xml:space="preserve">500 </w:t>
            </w:r>
            <w:r>
              <w:rPr/>
              <w:t>台比例</w:t>
            </w:r>
          </w:p>
        </w:tc>
      </w:tr>
      <w:tr>
        <w:trPr/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静态稳定性通过并进入动态仿真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454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90.8%</w:t>
            </w:r>
          </w:p>
        </w:tc>
      </w:tr>
      <w:tr>
        <w:trPr/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静态不稳定、跳过动态仿真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46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9.2%</w:t>
            </w:r>
          </w:p>
        </w:tc>
      </w:tr>
      <w:tr>
        <w:trPr/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 xml:space="preserve">严格直线匀速 </w:t>
            </w:r>
            <w:r>
              <w:rPr/>
              <w:t>PASS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223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44.6%</w:t>
            </w:r>
          </w:p>
        </w:tc>
      </w:tr>
      <w:tr>
        <w:trPr/>
        <w:tc>
          <w:tcPr>
            <w:tcW w:w="318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完成动态仿真但未通过严格标准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231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46.2%</w:t>
            </w:r>
          </w:p>
        </w:tc>
      </w:tr>
    </w:tbl>
    <w:p>
      <w:pPr>
        <w:pStyle w:val="TextBody"/>
        <w:bidi w:val="0"/>
        <w:spacing w:before="120" w:after="120"/>
        <w:ind w:start="120" w:end="120" w:hanging="0"/>
        <w:jc w:val="both"/>
        <w:rPr/>
      </w:pPr>
      <w:r>
        <w:rPr/>
        <w:t xml:space="preserve">在 </w:t>
      </w:r>
      <w:r>
        <w:rPr/>
        <w:t xml:space="preserve">454 </w:t>
      </w:r>
      <w:r>
        <w:rPr/>
        <w:t xml:space="preserve">台动态仿真样本内，通过率为 </w:t>
      </w:r>
      <w:r>
        <w:rPr/>
        <w:t>223/454 = 49.1%</w:t>
      </w:r>
      <w:r>
        <w:rPr/>
        <w:t>。</w:t>
      </w:r>
    </w:p>
    <w:p>
      <w:pPr>
        <w:pStyle w:val="TextBody"/>
        <w:bidi w:val="0"/>
        <w:spacing w:before="120" w:after="0"/>
        <w:rPr/>
      </w:pPr>
      <w:r>
        <w:rPr/>
        <w:drawing>
          <wp:inline distT="0" distB="0" distL="0" distR="0">
            <wp:extent cx="6191250" cy="3038475"/>
            <wp:effectExtent l="0" t="0" r="0" b="0"/>
            <wp:docPr id="4" name="Image4" descr="" title="500台随机机器人按腿数统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500台随机机器人按腿数统计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 xml:space="preserve">图 </w:t>
      </w:r>
      <w:r>
        <w:rPr/>
        <w:t>4</w:t>
      </w:r>
      <w:r>
        <w:rPr/>
        <w:t>　按腿数统计样本量、动态仿真数量和严格通过数量。</w:t>
      </w:r>
      <w:r>
        <w:rPr/>
        <w:t xml:space="preserve">4 </w:t>
      </w:r>
      <w:r>
        <w:rPr/>
        <w:t>腿、</w:t>
      </w:r>
      <w:r>
        <w:rPr/>
        <w:t xml:space="preserve">5 </w:t>
      </w:r>
      <w:r>
        <w:rPr/>
        <w:t xml:space="preserve">腿构型仍是明显薄弱环节。 </w:t>
      </w:r>
    </w:p>
    <w:tbl>
      <w:tblPr>
        <w:tblW w:w="615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61"/>
        <w:gridCol w:w="646"/>
        <w:gridCol w:w="1066"/>
        <w:gridCol w:w="766"/>
        <w:gridCol w:w="1276"/>
        <w:gridCol w:w="1741"/>
      </w:tblGrid>
      <w:tr>
        <w:trPr/>
        <w:tc>
          <w:tcPr>
            <w:tcW w:w="6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腿数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总数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进入动态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PASS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总体通过率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120"/>
              <w:jc w:val="center"/>
              <w:rPr/>
            </w:pPr>
            <w:r>
              <w:rPr/>
              <w:t>动态样本通过率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4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26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12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5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19.2%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41.7%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5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54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45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9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16.7%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20.0%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6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101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94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40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39.6%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42.6%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7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125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121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63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50.4%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52.1%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8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101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94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48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47.5%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51.1%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9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63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59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38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60.3%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64.4%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10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30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29</w:t>
            </w:r>
          </w:p>
        </w:tc>
        <w:tc>
          <w:tcPr>
            <w:tcW w:w="76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20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66.7%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t>69.0%</w:t>
            </w:r>
          </w:p>
        </w:tc>
      </w:tr>
    </w:tbl>
    <w:p>
      <w:pPr>
        <w:pStyle w:val="TextBody"/>
        <w:bidi w:val="0"/>
        <w:spacing w:before="120" w:after="120"/>
        <w:ind w:start="120" w:end="120" w:hanging="0"/>
        <w:jc w:val="both"/>
        <w:rPr/>
      </w:pPr>
      <w:r>
        <w:rPr/>
        <w:drawing>
          <wp:inline distT="0" distB="0" distL="0" distR="0">
            <wp:extent cx="6096000" cy="3048000"/>
            <wp:effectExtent l="0" t="0" r="0" b="0"/>
            <wp:docPr id="5" name="Image5" descr="" title="未通过指标频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未通过指标频次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t xml:space="preserve">图 </w:t>
      </w:r>
      <w:r>
        <w:rPr/>
        <w:t>5</w:t>
      </w:r>
      <w:r>
        <w:rPr/>
        <w:t xml:space="preserve">　动态未通过样本的指标频次。同一机器人可能同时违反多项指标，因此频次之和大于 </w:t>
      </w:r>
      <w:r>
        <w:rPr/>
        <w:t>231</w:t>
      </w:r>
      <w:r>
        <w:rPr/>
        <w:t xml:space="preserve">。 </w:t>
      </w:r>
    </w:p>
    <w:p>
      <w:pPr>
        <w:pStyle w:val="TextBody"/>
        <w:bidi w:val="0"/>
        <w:spacing w:before="120" w:after="120"/>
        <w:ind w:start="120" w:end="120" w:hanging="0"/>
        <w:jc w:val="both"/>
        <w:rPr/>
      </w:pPr>
      <w:r>
        <w:rPr/>
        <w:t xml:space="preserve">行进方向误差出现 </w:t>
      </w:r>
      <w:r>
        <w:rPr/>
        <w:t xml:space="preserve">200 </w:t>
      </w:r>
      <w:r>
        <w:rPr/>
        <w:t xml:space="preserve">次、漂移比超限出现 </w:t>
      </w:r>
      <w:r>
        <w:rPr/>
        <w:t xml:space="preserve">179 </w:t>
      </w:r>
      <w:r>
        <w:rPr/>
        <w:t xml:space="preserve">次、前向速度不足出现 </w:t>
      </w:r>
      <w:r>
        <w:rPr/>
        <w:t xml:space="preserve">127 </w:t>
      </w:r>
      <w:r>
        <w:rPr/>
        <w:t xml:space="preserve">次，而周期速度 </w:t>
      </w:r>
      <w:r>
        <w:rPr/>
        <w:t xml:space="preserve">CV </w:t>
      </w:r>
      <w:r>
        <w:rPr/>
        <w:t xml:space="preserve">超限仅出现 </w:t>
      </w:r>
      <w:r>
        <w:rPr/>
        <w:t xml:space="preserve">12 </w:t>
      </w:r>
      <w:r>
        <w:rPr/>
        <w:t>次。由此可以判断，当前主要问题是未知构型的方向选择和侧向力不平衡，而不是周期步态本身不稳定。</w:t>
      </w:r>
    </w:p>
    <w:p>
      <w:pPr>
        <w:pStyle w:val="Heading3"/>
        <w:bidi w:val="0"/>
        <w:jc w:val="start"/>
        <w:rPr/>
      </w:pPr>
      <w:r>
        <w:rPr/>
        <w:t>典型轨迹对比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848"/>
        <w:gridCol w:w="5491"/>
      </w:tblGrid>
      <w:tr>
        <w:trPr/>
        <w:tc>
          <w:tcPr>
            <w:tcW w:w="5848" w:type="dxa"/>
            <w:tcBorders/>
            <w:vAlign w:val="center"/>
          </w:tcPr>
          <w:p>
            <w:pPr>
              <w:pStyle w:val="TableContents"/>
              <w:keepNext w:val="true"/>
              <w:bidi w:val="0"/>
              <w:spacing w:before="120" w:after="120"/>
              <w:rPr/>
            </w:pPr>
            <w:r>
              <w:rPr/>
              <w:drawing>
                <wp:inline distT="0" distB="0" distL="0" distR="0">
                  <wp:extent cx="2714625" cy="5076825"/>
                  <wp:effectExtent l="0" t="0" r="0" b="0"/>
                  <wp:docPr id="6" name="Image6" descr="" title="随机机器人通过案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 title="随机机器人通过案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507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/>
              <w:drawing>
                <wp:inline distT="0" distB="0" distL="0" distR="0">
                  <wp:extent cx="2714625" cy="3476625"/>
                  <wp:effectExtent l="0" t="0" r="0" b="0"/>
                  <wp:docPr id="7" name="Image7" descr="" title="随机机器人未通过案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" title="随机机器人未通过案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5848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>
                <w:rStyle w:val="StrongEmphasis"/>
              </w:rPr>
              <w:t>PASS</w:t>
            </w:r>
            <w:r>
              <w:rPr>
                <w:rStyle w:val="StrongEmphasis"/>
              </w:rPr>
              <w:t>：</w:t>
            </w:r>
            <w:r>
              <w:rPr/>
              <w:t>robot_00_seed7</w:t>
            </w:r>
            <w:r>
              <w:rPr/>
              <w:t>，能够持续前进，但仍存在可见侧向偏置。</w:t>
            </w:r>
          </w:p>
        </w:tc>
        <w:tc>
          <w:tcPr>
            <w:tcW w:w="5491" w:type="dxa"/>
            <w:tcBorders/>
            <w:vAlign w:val="center"/>
          </w:tcPr>
          <w:p>
            <w:pPr>
              <w:pStyle w:val="TableContents"/>
              <w:bidi w:val="0"/>
              <w:spacing w:before="120" w:after="120"/>
              <w:rPr/>
            </w:pPr>
            <w:r>
              <w:rPr>
                <w:rStyle w:val="StrongEmphasis"/>
              </w:rPr>
              <w:t>FAIL</w:t>
            </w:r>
            <w:r>
              <w:rPr>
                <w:rStyle w:val="StrongEmphasis"/>
              </w:rPr>
              <w:t>：</w:t>
            </w:r>
            <w:r>
              <w:rPr/>
              <w:t>robot_01_seed42</w:t>
            </w:r>
            <w:r>
              <w:rPr/>
              <w:t>，侧向位移较大，漂移比超出标准。</w:t>
            </w:r>
          </w:p>
        </w:tc>
      </w:tr>
    </w:tbl>
    <w:p>
      <w:pPr>
        <w:pStyle w:val="TextBody"/>
        <w:bidi w:val="0"/>
        <w:jc w:val="center"/>
        <w:rPr>
          <w:color w:val="52637A"/>
        </w:rPr>
      </w:pPr>
      <w:r>
        <w:rPr>
          <w:color w:val="52637A"/>
          <w:sz w:val="18"/>
        </w:rPr>
        <w:t xml:space="preserve">图 </w:t>
      </w:r>
      <w:r>
        <w:rPr>
          <w:color w:val="52637A"/>
          <w:sz w:val="18"/>
        </w:rPr>
        <w:t>6</w:t>
      </w:r>
      <w:r>
        <w:rPr>
          <w:color w:val="52637A"/>
          <w:sz w:val="18"/>
        </w:rPr>
        <w:t>　</w:t>
      </w:r>
      <w:r>
        <w:rPr>
          <w:color w:val="52637A"/>
          <w:sz w:val="18"/>
        </w:rPr>
        <w:t xml:space="preserve">500 </w:t>
      </w:r>
      <w:r>
        <w:rPr>
          <w:color w:val="52637A"/>
          <w:sz w:val="18"/>
        </w:rPr>
        <w:t>台统一批测流程中的通过与未通过轨迹示例。</w:t>
      </w:r>
    </w:p>
    <w:p>
      <w:pPr>
        <w:pStyle w:val="Heading2"/>
        <w:bidi w:val="0"/>
        <w:jc w:val="start"/>
        <w:rPr/>
      </w:pPr>
      <w:r>
        <w:rPr/>
        <w:t>五、数据完整性与当前不足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rPr/>
      </w:pPr>
      <w:r>
        <w:rPr/>
        <w:t xml:space="preserve">生成 </w:t>
      </w:r>
      <w:r>
        <w:rPr/>
        <w:t xml:space="preserve">501 </w:t>
      </w:r>
      <w:r>
        <w:rPr/>
        <w:t xml:space="preserve">张路径图，保存 </w:t>
      </w:r>
      <w:r>
        <w:rPr/>
        <w:t xml:space="preserve">455 </w:t>
      </w:r>
      <w:r>
        <w:rPr/>
        <w:t xml:space="preserve">份动态轨迹 </w:t>
      </w:r>
      <w:r>
        <w:rPr/>
        <w:t>JSON</w:t>
      </w:r>
      <w:r>
        <w:rPr/>
        <w:t xml:space="preserve">；所有动态轨迹均包含 </w:t>
      </w:r>
      <w:r>
        <w:rPr/>
        <w:t xml:space="preserve">1200 </w:t>
      </w:r>
      <w:r>
        <w:rPr/>
        <w:t xml:space="preserve">个 </w:t>
      </w:r>
      <w:r>
        <w:rPr>
          <w:rStyle w:val="SourceText"/>
        </w:rPr>
        <w:t>[x, y, yaw, z]</w:t>
      </w:r>
      <w:r>
        <w:rPr/>
        <w:t xml:space="preserve"> </w:t>
      </w:r>
      <w:r>
        <w:rPr/>
        <w:t xml:space="preserve">样本。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rPr/>
      </w:pPr>
      <w:r>
        <w:rPr/>
        <w:t xml:space="preserve">46 </w:t>
      </w:r>
      <w:r>
        <w:rPr/>
        <w:t xml:space="preserve">个 </w:t>
      </w:r>
      <w:r>
        <w:rPr/>
        <w:t xml:space="preserve">GPU </w:t>
      </w:r>
      <w:r>
        <w:rPr/>
        <w:t xml:space="preserve">仿真批次全部正常返回，无空轨迹、样本缺失或子进程失败；当前单元测试为 </w:t>
      </w:r>
      <w:r>
        <w:rPr>
          <w:rStyle w:val="StrongEmphasis"/>
        </w:rPr>
        <w:t>54 passed</w:t>
      </w:r>
      <w:r>
        <w:rPr/>
        <w:t xml:space="preserve">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rPr/>
      </w:pPr>
      <w:r>
        <w:rPr/>
        <w:t xml:space="preserve">Isaac Gym </w:t>
      </w:r>
      <w:r>
        <w:rPr/>
        <w:t xml:space="preserve">出现过 </w:t>
      </w:r>
      <w:r>
        <w:rPr>
          <w:rStyle w:val="SourceText"/>
        </w:rPr>
        <w:t>Incomplete articulation</w:t>
      </w:r>
      <w:r>
        <w:rPr/>
        <w:t xml:space="preserve"> </w:t>
      </w:r>
      <w:r>
        <w:rPr/>
        <w:t xml:space="preserve">警告，虽未造成批次中断，但仍需研究其对多环境复位一致性的潜在影响。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rPr/>
      </w:pPr>
      <w:r>
        <w:rPr/>
        <w:t xml:space="preserve">定向回归案例共 </w:t>
      </w:r>
      <w:r>
        <w:rPr/>
        <w:t xml:space="preserve">23 </w:t>
      </w:r>
      <w:r>
        <w:rPr/>
        <w:t xml:space="preserve">台全部通过，但 </w:t>
      </w:r>
      <w:r>
        <w:rPr/>
        <w:t xml:space="preserve">500 </w:t>
      </w:r>
      <w:r>
        <w:rPr/>
        <w:t xml:space="preserve">台随机批测总体通过率仅为 </w:t>
      </w:r>
      <w:r>
        <w:rPr/>
        <w:t>44.6%</w:t>
      </w:r>
      <w:r>
        <w:rPr/>
        <w:t xml:space="preserve">，说明算法当前具备部分适应能力，尚未达到全面普适。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start="829" w:end="120" w:hanging="283"/>
        <w:rPr/>
      </w:pPr>
      <w:r>
        <w:rPr/>
        <w:t xml:space="preserve">当前工作仍处于仿真阶段，尚未覆盖真实机器人的模型误差、关节间隙、传感器噪声和地面摩擦变化。 </w:t>
      </w:r>
    </w:p>
    <w:p>
      <w:pPr>
        <w:pStyle w:val="Heading2"/>
        <w:bidi w:val="0"/>
        <w:jc w:val="start"/>
        <w:rPr/>
      </w:pPr>
      <w:r>
        <w:rPr/>
        <w:t>六、下周计划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rPr/>
      </w:pPr>
      <w:r>
        <w:rPr>
          <w:rStyle w:val="StrongEmphasis"/>
        </w:rPr>
        <w:t>优化方向候选评分：</w:t>
      </w:r>
      <w:r>
        <w:rPr/>
        <w:t xml:space="preserve">融合短时轨迹方向、侧向速度和支撑力矩，对方向误差样本进行二次搜索。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rPr/>
      </w:pPr>
      <w:r>
        <w:rPr>
          <w:rStyle w:val="StrongEmphasis"/>
        </w:rPr>
        <w:t>增强侧漂抑制：</w:t>
      </w:r>
      <w:r>
        <w:rPr/>
        <w:t xml:space="preserve">依据横向位置与速度在线调整左右腿步幅，重点处理 </w:t>
      </w:r>
      <w:r>
        <w:rPr/>
        <w:t xml:space="preserve">4 </w:t>
      </w:r>
      <w:r>
        <w:rPr/>
        <w:t>腿、</w:t>
      </w:r>
      <w:r>
        <w:rPr/>
        <w:t xml:space="preserve">5 </w:t>
      </w:r>
      <w:r>
        <w:rPr/>
        <w:t xml:space="preserve">腿及强不对称构型。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rPr/>
      </w:pPr>
      <w:r>
        <w:rPr>
          <w:rStyle w:val="StrongEmphasis"/>
        </w:rPr>
        <w:t>分析静态失败：</w:t>
      </w:r>
      <w:r>
        <w:rPr/>
        <w:t xml:space="preserve">对 </w:t>
      </w:r>
      <w:r>
        <w:rPr/>
        <w:t xml:space="preserve">46 </w:t>
      </w:r>
      <w:r>
        <w:rPr/>
        <w:t xml:space="preserve">台静态失败样本分类，区分构型物理不可行与初始化控制失败。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start="829" w:end="120" w:hanging="283"/>
        <w:rPr/>
      </w:pPr>
      <w:r>
        <w:rPr>
          <w:rStyle w:val="StrongEmphasis"/>
        </w:rPr>
        <w:t>开展消融实验：</w:t>
      </w:r>
      <w:r>
        <w:rPr/>
        <w:t xml:space="preserve">分别关闭方向搜索、相位交换、姿态调平和速度补偿，量化每个模块的贡献。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start="829" w:end="120" w:hanging="283"/>
        <w:rPr/>
      </w:pPr>
      <w:r>
        <w:rPr>
          <w:rStyle w:val="StrongEmphasis"/>
        </w:rPr>
        <w:t>进行同种子复测：</w:t>
      </w:r>
      <w:r>
        <w:rPr/>
        <w:t xml:space="preserve">在固定的 </w:t>
      </w:r>
      <w:r>
        <w:rPr/>
        <w:t xml:space="preserve">500 </w:t>
      </w:r>
      <w:r>
        <w:rPr/>
        <w:t xml:space="preserve">台样本上比较新旧版本，通过率、失败类型和计算耗时保持可复现。 </w:t>
      </w:r>
    </w:p>
    <w:p>
      <w:pPr>
        <w:pStyle w:val="Heading2"/>
        <w:bidi w:val="0"/>
        <w:jc w:val="start"/>
        <w:rPr/>
      </w:pPr>
      <w:r>
        <w:rPr/>
        <w:t>七、阶段结论</w:t>
      </w:r>
    </w:p>
    <w:p>
      <w:pPr>
        <w:pStyle w:val="TextBody"/>
        <w:bidi w:val="0"/>
        <w:spacing w:before="120" w:after="0"/>
        <w:rPr>
          <w:bdr w:val="single" w:sz="30" w:space="14" w:color="10B981"/>
          <w:shd w:fill="ECFDF5" w:val="clear"/>
        </w:rPr>
      </w:pPr>
      <w:r>
        <w:rPr>
          <w:bdr w:val="single" w:sz="30" w:space="14" w:color="10B981"/>
          <w:shd w:fill="ECFDF5" w:val="clear"/>
        </w:rPr>
        <w:t>本周完成了面向不同腿数和缺腿情况的自适应步态流程，并建立统一的直线匀速验收标准。标准六足、</w:t>
      </w:r>
      <w:r>
        <w:rPr>
          <w:bdr w:val="single" w:sz="30" w:space="14" w:color="10B981"/>
          <w:shd w:fill="ECFDF5" w:val="clear"/>
        </w:rPr>
        <w:t xml:space="preserve">6 </w:t>
      </w:r>
      <w:r>
        <w:rPr>
          <w:bdr w:val="single" w:sz="30" w:space="14" w:color="10B981"/>
          <w:shd w:fill="ECFDF5" w:val="clear"/>
        </w:rPr>
        <w:t>种单腿缺失、</w:t>
      </w:r>
      <w:r>
        <w:rPr>
          <w:bdr w:val="single" w:sz="30" w:space="14" w:color="10B981"/>
          <w:shd w:fill="ECFDF5" w:val="clear"/>
        </w:rPr>
        <w:t xml:space="preserve">11 </w:t>
      </w:r>
      <w:r>
        <w:rPr>
          <w:bdr w:val="single" w:sz="30" w:space="14" w:color="10B981"/>
          <w:shd w:fill="ECFDF5" w:val="clear"/>
        </w:rPr>
        <w:t xml:space="preserve">种双腿缺失代表组合以及 </w:t>
      </w:r>
      <w:r>
        <w:rPr>
          <w:bdr w:val="single" w:sz="30" w:space="14" w:color="10B981"/>
          <w:shd w:fill="ECFDF5" w:val="clear"/>
        </w:rPr>
        <w:t xml:space="preserve">5 </w:t>
      </w:r>
      <w:r>
        <w:rPr>
          <w:bdr w:val="single" w:sz="30" w:space="14" w:color="10B981"/>
          <w:shd w:fill="ECFDF5" w:val="clear"/>
        </w:rPr>
        <w:t xml:space="preserve">台定向生成机器人均通过 </w:t>
      </w:r>
      <w:r>
        <w:rPr>
          <w:bdr w:val="single" w:sz="30" w:space="14" w:color="10B981"/>
          <w:shd w:fill="ECFDF5" w:val="clear"/>
        </w:rPr>
        <w:t xml:space="preserve">20 s </w:t>
      </w:r>
      <w:r>
        <w:rPr>
          <w:bdr w:val="single" w:sz="30" w:space="14" w:color="10B981"/>
          <w:shd w:fill="ECFDF5" w:val="clear"/>
        </w:rPr>
        <w:t>长时仿真。</w:t>
      </w:r>
      <w:r>
        <w:rPr>
          <w:bdr w:val="single" w:sz="30" w:space="14" w:color="10B981"/>
          <w:shd w:fill="ECFDF5" w:val="clear"/>
        </w:rPr>
        <w:t xml:space="preserve">500 </w:t>
      </w:r>
      <w:r>
        <w:rPr>
          <w:bdr w:val="single" w:sz="30" w:space="14" w:color="10B981"/>
          <w:shd w:fill="ECFDF5" w:val="clear"/>
        </w:rPr>
        <w:t xml:space="preserve">台随机测试中有 </w:t>
      </w:r>
      <w:r>
        <w:rPr>
          <w:bdr w:val="single" w:sz="30" w:space="14" w:color="10B981"/>
          <w:shd w:fill="ECFDF5" w:val="clear"/>
        </w:rPr>
        <w:t xml:space="preserve">223 </w:t>
      </w:r>
      <w:r>
        <w:rPr>
          <w:bdr w:val="single" w:sz="30" w:space="14" w:color="10B981"/>
          <w:shd w:fill="ECFDF5" w:val="clear"/>
        </w:rPr>
        <w:t xml:space="preserve">台通过全部标准，总体通过率为 </w:t>
      </w:r>
      <w:r>
        <w:rPr>
          <w:bdr w:val="single" w:sz="30" w:space="14" w:color="10B981"/>
          <w:shd w:fill="ECFDF5" w:val="clear"/>
        </w:rPr>
        <w:t>44.6%</w:t>
      </w:r>
      <w:r>
        <w:rPr>
          <w:bdr w:val="single" w:sz="30" w:space="14" w:color="10B981"/>
          <w:shd w:fill="ECFDF5" w:val="clear"/>
        </w:rPr>
        <w:t xml:space="preserve">。下一阶段将集中解决行进方向误差、侧漂和少腿构型稳定性问题，并通过消融实验验证各算法模块的实际贡献。 </w:t>
      </w:r>
    </w:p>
    <w:p>
      <w:pPr>
        <w:pStyle w:val="TextBody"/>
        <w:bidi w:val="0"/>
        <w:spacing w:before="120" w:after="0"/>
        <w:rPr/>
      </w:pPr>
      <w:r>
        <w:rPr/>
        <w:t>数据来源：</w:t>
      </w:r>
      <w:r>
        <w:rPr>
          <w:rStyle w:val="SourceText"/>
        </w:rPr>
        <w:t>validation_results/</w:t>
      </w:r>
      <w:r>
        <w:rPr/>
        <w:t xml:space="preserve"> </w:t>
      </w:r>
      <w:r>
        <w:rPr/>
        <w:t xml:space="preserve">与 </w:t>
      </w:r>
      <w:r>
        <w:rPr>
          <w:rStyle w:val="SourceText"/>
        </w:rPr>
        <w:t>batch_results/20260818_131804/</w:t>
      </w:r>
      <w:r>
        <w:rPr/>
        <w:br/>
      </w:r>
      <w:r>
        <w:rPr/>
        <w:t xml:space="preserve">本报告由项目现有仿真数据自动整理，图表均可由脚本复现。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Liberation Sans Unicode MS">
    <w:charset w:val="01" w:characterSet="utf-8"/>
    <w:family w:val="auto"/>
    <w:pitch w:val="variable"/>
  </w:font>
  <w:font w:name="Noto Sans Mono CJK SC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12"/>
    </w:pPr>
    <w:rPr>
      <w:rFonts w:ascii="Noto Sans CJK SC;Microsoft YaHei;Droid Sans Fallback;sans-serif" w:hAnsi="Noto Sans CJK SC;Microsoft YaHei;Droid Sans Fallback;sans-serif" w:eastAsia="Noto Sans CJK SC;Microsoft YaHei;Droid Sans Fallback;sans-serif" w:cs="Noto Sans CJK SC;Microsoft YaHei;Droid Sans Fallback;sans-serif"/>
      <w:color w:val="172033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keepNext w:val="true"/>
      <w:spacing w:lineRule="auto" w:line="307" w:before="270" w:after="150"/>
      <w:ind w:start="270" w:end="270" w:hanging="0"/>
      <w:jc w:val="center"/>
    </w:pPr>
    <w:rPr>
      <w:rFonts w:ascii="Liberation Sans Unicode MS" w:hAnsi="Liberation Sans Unicode MS"/>
      <w:b/>
      <w:bCs/>
      <w:color w:val="12376B"/>
      <w:sz w:val="45"/>
      <w:szCs w:val="45"/>
    </w:rPr>
  </w:style>
  <w:style w:type="paragraph" w:styleId="Heading2">
    <w:name w:val="Heading 2"/>
    <w:basedOn w:val="Heading"/>
    <w:next w:val="TextBody"/>
    <w:qFormat/>
    <w:pPr>
      <w:keepNext w:val="true"/>
      <w:pBdr>
        <w:bottom w:val="single" w:sz="12" w:space="5" w:color="2E68B2"/>
      </w:pBdr>
      <w:spacing w:before="450" w:after="180"/>
      <w:ind w:start="450" w:end="450" w:hanging="0"/>
      <w:outlineLvl w:val="1"/>
    </w:pPr>
    <w:rPr>
      <w:rFonts w:ascii="Liberation Serif" w:hAnsi="Liberation Serif" w:eastAsia="Noto Serif CJK SC" w:cs="Lohit Devanagari"/>
      <w:b/>
      <w:bCs/>
      <w:color w:val="12376B"/>
      <w:sz w:val="32"/>
      <w:szCs w:val="32"/>
    </w:rPr>
  </w:style>
  <w:style w:type="paragraph" w:styleId="Heading3">
    <w:name w:val="Heading 3"/>
    <w:basedOn w:val="Heading"/>
    <w:next w:val="TextBody"/>
    <w:qFormat/>
    <w:pPr>
      <w:keepNext w:val="true"/>
      <w:spacing w:before="330" w:after="120"/>
      <w:ind w:start="330" w:end="330" w:hanging="0"/>
      <w:outlineLvl w:val="2"/>
    </w:pPr>
    <w:rPr>
      <w:rFonts w:ascii="Liberation Serif" w:hAnsi="Liberation Serif" w:eastAsia="Noto Serif CJK SC" w:cs="Lohit Devanagari"/>
      <w:b/>
      <w:bCs/>
      <w:color w:val="12376B"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Noto Sans Mono CJK SC;monospace" w:hAnsi="Noto Sans Mono CJK SC;monospace" w:eastAsia="Noto Sans Mono CJK SC;monospace" w:cs="Noto Sans Mono CJK SC;monospace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120" w:after="120"/>
      <w:ind w:start="120" w:end="120" w:hanging="0"/>
      <w:jc w:val="both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多足机器人自适应直线匀速行走项目周报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</vt:lpwstr>
  </property>
</Properties>
</file>