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>
      <w:pPr>
        <w:pStyle w:val="Normal"/>
        <w:spacing w:lineRule="auto" w:line="240" w:before="0" w:after="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(СибГУТИ)</w:t>
      </w:r>
    </w:p>
    <w:p>
      <w:pPr>
        <w:pStyle w:val="Style71"/>
        <w:widowControl/>
        <w:spacing w:lineRule="auto" w:line="240"/>
        <w:ind w:end="-1"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end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rStyle w:val="FontStyle22"/>
          <w:rFonts w:cs="Times New Roman"/>
          <w:b w:val="false"/>
          <w:i w:val="false"/>
          <w:sz w:val="28"/>
          <w:szCs w:val="28"/>
        </w:rPr>
        <w:t>Кафедра прикладной математики и кибернетики</w:t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Title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>
        <w:rPr>
          <w:rStyle w:val="FontStyle22"/>
          <w:rFonts w:cs="Times New Roman" w:ascii="Times New Roman" w:hAnsi="Times New Roman" w:eastAsia="Times New Roman"/>
          <w:b/>
          <w:i w:val="false"/>
          <w:color w:val="000000"/>
          <w:sz w:val="36"/>
          <w:szCs w:val="36"/>
        </w:rPr>
        <w:t>Отчёт</w:t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по дисциплине «Тестирование программного обеспечения»</w:t>
        <w:br/>
        <w:t>по лабораторной работе № 6</w:t>
        <w:br/>
        <w:t>«Разработка сценария нагрузочного тестирования с использованием Locust»</w:t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rStyle w:val="FontStyle22"/>
          <w:sz w:val="28"/>
          <w:szCs w:val="28"/>
        </w:rPr>
        <w:t xml:space="preserve"> </w:t>
      </w:r>
      <w:r>
        <w:rPr>
          <w:rStyle w:val="FontStyle22"/>
          <w:sz w:val="28"/>
          <w:szCs w:val="28"/>
        </w:rPr>
        <w:br/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7"/>
        <w:widowControl/>
        <w:spacing w:lineRule="auto" w:line="240"/>
        <w:ind w:end="-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Выполнил</w:t>
      </w:r>
      <w:r>
        <w:rPr>
          <w:rStyle w:val="FontStyle22"/>
          <w:rFonts w:cs="Times New Roman" w:ascii="Times New Roman" w:hAnsi="Times New Roman"/>
          <w:sz w:val="28"/>
          <w:szCs w:val="28"/>
        </w:rPr>
        <w:t>и</w:t>
      </w:r>
      <w:r>
        <w:rPr>
          <w:rStyle w:val="FontStyle22"/>
          <w:rFonts w:cs="Times New Roman" w:ascii="Times New Roman" w:hAnsi="Times New Roman"/>
          <w:sz w:val="28"/>
          <w:szCs w:val="28"/>
        </w:rPr>
        <w:t>:</w:t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студенты группы    ИП-413</w:t>
        <w:br/>
        <w:tab/>
        <w:tab/>
        <w:tab/>
        <w:tab/>
        <w:t xml:space="preserve"> Хайретдинов Д. Д.</w:t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ab/>
        <w:tab/>
        <w:tab/>
        <w:tab/>
        <w:t xml:space="preserve"> Сёмин Д.В.</w:t>
      </w:r>
      <w:r>
        <w:rPr>
          <w:rStyle w:val="FontStyle22"/>
          <w:rFonts w:cs="Times New Roman" w:ascii="Times New Roman" w:hAnsi="Times New Roman"/>
          <w:sz w:val="28"/>
          <w:szCs w:val="28"/>
        </w:rPr>
        <w:br/>
        <w:br/>
        <w:t xml:space="preserve">Работу проверил: </w:t>
        <w:tab/>
        <w:t>преподаватель</w:t>
        <w:br/>
        <w:tab/>
        <w:tab/>
        <w:tab/>
        <w:tab/>
        <w:t>Истомина А.С.</w:t>
      </w:r>
      <w:r>
        <w:rPr>
          <w:rStyle w:val="FontStyle22"/>
          <w:rFonts w:cs="Times New Roman" w:ascii="Times New Roman" w:hAnsi="Times New Roman"/>
          <w:sz w:val="20"/>
          <w:szCs w:val="20"/>
        </w:rPr>
        <w:t xml:space="preserve">        </w:t>
      </w:r>
    </w:p>
    <w:p>
      <w:pPr>
        <w:pStyle w:val="Style17"/>
        <w:widowControl/>
        <w:spacing w:lineRule="auto" w:line="240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>
      <w:pPr>
        <w:pStyle w:val="Heading1"/>
        <w:keepNext/>
        <w:pageBreakBefore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1 Цель и задачи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Научиться разрабатывать сценарии нагрузочного тестирования OpenBMC и публичных API с помощью Locust. Измерить время отклика и процент ошибок, построить графики нагрузки и оценить устойчивость на выбранных уровнях числа пользователей.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2 Теоретические сведения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Locust моделирует виртуальных пользователей с помощью классов HttpUser. Методы с декоратором task выполняют HTTP-запросы, а wait_time задаёт паузы между действиями. Параметр spawn rate определяет скорость появления пользователей, а не число запросов в секунду.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Среднее время ответа характеризует весь набор запросов, p95 — задержку, которую не превышает примерно 95% измерений. RPS показывает число запросов в секунду. Проверка catch_response учитывает ошибки структуры JSON даже при успешном HTTP-коде.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3 Стенд и сценарии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Компонент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Конфигурация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OpenBMC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Romulus в QEMU/Docker, HTTPS 127.0.0.1:2443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Инструменты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Python 3.14.8; Locust 2.46.7; Matplotlib 3.11.2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Публичные сервисы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JSONPlaceholder /posts; wttr.in/Novosibirsk?format=j1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OpenBMCUser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Сессия на пользователя; система (вес 3), PowerState (вес 2); пауза 1–3 с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PublicAPIUser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Посты и погода последовательно; пауза 3–5 с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Ошибки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Тайм-аут 15 с; проверка HTTP 200 и обязательных JSON-полей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 файле locustfile.py реализованы ровно два класса нагрузки. Каждый пользователь OpenBMC создаёт собственную сессию и удаляет её при остановке. Под нагрузкой выполняются чтения; состояние питания проверяется без команды переключения.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4 Реализация и запуск сценария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разных проверок одного Redfish-ресурса заданы отдельные имена метрик. Фрагмент сценария чтения питания: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@task(2)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def power_state(self):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with self.client.get(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SYSTEM, name="BMC PowerState", timeout=15,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allow_redirects=False, catch_response=True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) as response: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data = json_body(response)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if data is None: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    return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if not isinstance(data, dict) or data.get(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    "PowerState") not in {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        "On", "Off", "PoweringOn", "PoweringOff"}: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    response.failure("Missing or invalid PowerState")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Публичный класс использует один относительный URL /posts и абсолютный URL wttr.in. Проверяются непустой список постов с полями id, title, body и объект погоды current_condition с temp_C.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5 Проведение эксперимента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python -m pip install -r lab6/requirements-analysis.txt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# BMC_PASSWORD задаётся отдельно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export BMC_VERIFY_TLS=false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python -m locust -f lab6/locustfile.py OpenBMCUser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 браузере открыт localhost:8089, заданы 10 пользователей, скорость запуска 2 пользователя/с и адрес OpenBMC. После запуска проверены вкладки Statistics и Charts; достигнуты 10 активных пользователей, ошибок 0%. Нагрузка остановлена кнопкой Stop. Снимки интерфейса сохранены в results/locust_web_*.jpg.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Контрольные прогоны выполнены отдельно: OpenBMC — 1, 5 и 10 пользователей по 30 с; публичные API — 1 пользователь на 20 с. Скорость запуска — 2 пользователя/с. Каждый уровень запускается новым процессом, время включает разгон.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python lab6/run_profiles.py bmc --users 1 5 10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python lab6/run_profiles.py public --duration 20s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python lab6/analyze_results.py --plot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Итоговый CSV сохраняется обработчиком test_stop после завершения запросов и удаления сессий. Анализ использует *_final_stats.csv, историю — *_stats_history.csv. Нативные HTML-отчёты содержат интерактивные графики.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6 Результаты контрольных прогонов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50"/>
        <w:gridCol w:w="1134"/>
        <w:gridCol w:w="1531"/>
        <w:gridCol w:w="1247"/>
        <w:gridCol w:w="1191"/>
        <w:gridCol w:w="1644"/>
      </w:tblGrid>
      <w:tr>
        <w:trPr>
          <w:cantSplit/>
          <w:tblHeader/>
        </w:trP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Цель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VU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Запросы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Среднее мс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p95 мс</w:t>
            </w:r>
          </w:p>
        </w:tc>
        <w:tc>
          <w:tcPr>
            <w:tcW w:type="dxa" w:w="119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Ошибки</w:t>
            </w:r>
          </w:p>
        </w:tc>
        <w:tc>
          <w:tcPr>
            <w:tcW w:type="dxa" w:w="16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RPS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OpenBMC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204.20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390</w:t>
            </w:r>
          </w:p>
        </w:tc>
        <w:tc>
          <w:tcPr>
            <w:tcW w:type="dxa" w:w="119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0%</w:t>
            </w:r>
          </w:p>
        </w:tc>
        <w:tc>
          <w:tcPr>
            <w:tcW w:type="dxa" w:w="16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0.54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OpenBMC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70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329.38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1400</w:t>
            </w:r>
          </w:p>
        </w:tc>
        <w:tc>
          <w:tcPr>
            <w:tcW w:type="dxa" w:w="119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0%</w:t>
            </w:r>
          </w:p>
        </w:tc>
        <w:tc>
          <w:tcPr>
            <w:tcW w:type="dxa" w:w="16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2.34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OpenBMC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122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744.95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2000</w:t>
            </w:r>
          </w:p>
        </w:tc>
        <w:tc>
          <w:tcPr>
            <w:tcW w:type="dxa" w:w="119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0%</w:t>
            </w:r>
          </w:p>
        </w:tc>
        <w:tc>
          <w:tcPr>
            <w:tcW w:type="dxa" w:w="16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4.01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Публичные API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568.91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1500</w:t>
            </w:r>
          </w:p>
        </w:tc>
        <w:tc>
          <w:tcPr>
            <w:tcW w:type="dxa" w:w="119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0%</w:t>
            </w:r>
          </w:p>
        </w:tc>
        <w:tc>
          <w:tcPr>
            <w:tcW w:type="dxa" w:w="16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0.51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VU — число виртуальных пользователей. Дата измерений — 16 октября 2026 года. Агрегированная статистика включает создание и удаление Redfish-сессий. Процентили взяты из распределения Locust с его округлением; процентили разных маршрутов не усреднялись.</w:t>
      </w:r>
    </w:p>
    <w:p>
      <w:r>
        <w:drawing>
          <wp:inline xmlns:a="http://schemas.openxmlformats.org/drawingml/2006/main">
            <wp:extent cx="576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c_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 — число пользователей, RPS и p95 для независимых прогонов OpenBMC. RPS и p95 на графике относятся к скользящему окну 10 с; табличные значения относятся к полному прогону.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 публичном прогоне выполнено по четыре запроса к каждому сервису: среднее для /posts — 229,78 мс, для погоды — 908,04 мс; ошибки отсутствуют. Выборка мала и предназначена для проверки сценария.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7 Анализ и оценка устойчивости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критерий устойчивости: 0% ошибок, p95 не более 5000 мс, достигнуто заданное число пользователей, выполнены оба сценария чтения и нет ошибки завершения Locust. Этот критерий выбран для эксперимента и не является SLA продукта.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Все три уровня OpenBMC соответствуют критерию. Максимальная устойчивая нагрузка среди проверенных уровней — 10 пользователей. На этом уровне среднее время ответа составляет 744,95 мс, p95 — 2000 мс, пропускная способность — около 4,01 запроса/с.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С увеличением числа пользователей растёт время ответа. Возможные причины задержек связаны с очередями обработки HTTP-запросов и выполнением эмуляции QEMU; без профилирования нельзя достоверно выделить узкое место. Ошибки HTTP и валидации JSON в контрольных прогонах не зарегистрированы.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Испытание охватывает короткие прогоны с разгоном, без отдельного длительного прогрева. Точный предел производительности и длительная устойчивость не установлены. Результаты QEMU нельзя напрямую переносить на физический BMC. Для уточнения границы требуется отдельный согласованный эксперимент с большей нагрузкой.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8 Вывод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Разработан Locust-сценарий с двумя классами пользователей, проверками ответов и корректным завершением сессий. Выполнены запуск через веб-интерфейс и контрольные прогоны, сохранены CSV, протоколы и HTML-отчёты, построены графики. Среди проверенных уровней OpenBMC устойчиво обслуживал 10 пользователей; оба публичных API успешно обработали запросы учебного сценария.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9 Исходный код и источники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9">
        <w:r>
          <w:rPr>
            <w:rFonts w:ascii="Times New Roman" w:hAnsi="Times New Roman"/>
            <w:sz w:val="22"/>
            <w:color w:val="0000EE"/>
          </w:rPr>
          <w:t>GitHub — ветка лабораторной 6</w:t>
        </w:r>
      </w:hyperlink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10">
        <w:r>
          <w:rPr>
            <w:rFonts w:ascii="Times New Roman" w:hAnsi="Times New Roman"/>
            <w:sz w:val="22"/>
            <w:color w:val="0000EE"/>
          </w:rPr>
          <w:t>Locust — сценарии пользователей</w:t>
        </w:r>
      </w:hyperlink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11">
        <w:r>
          <w:rPr>
            <w:rFonts w:ascii="Times New Roman" w:hAnsi="Times New Roman"/>
            <w:sz w:val="22"/>
            <w:color w:val="0000EE"/>
          </w:rPr>
          <w:t>Locust — конфигурация и CSV-экспорт</w:t>
        </w:r>
      </w:hyperlink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12">
        <w:r>
          <w:rPr>
            <w:rFonts w:ascii="Times New Roman" w:hAnsi="Times New Roman"/>
            <w:sz w:val="22"/>
            <w:color w:val="0000EE"/>
          </w:rPr>
          <w:t>Locust API — catch_response и события</w:t>
        </w:r>
      </w:hyperlink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13">
        <w:r>
          <w:rPr>
            <w:rFonts w:ascii="Times New Roman" w:hAnsi="Times New Roman"/>
            <w:sz w:val="22"/>
            <w:color w:val="0000EE"/>
          </w:rPr>
          <w:t>JSONPlaceholder — руководство</w:t>
        </w:r>
      </w:hyperlink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14">
        <w:r>
          <w:rPr>
            <w:rFonts w:ascii="Times New Roman" w:hAnsi="Times New Roman"/>
            <w:sz w:val="22"/>
            <w:color w:val="0000EE"/>
          </w:rPr>
          <w:t>wttr.in — документация проекта</w:t>
        </w:r>
      </w:hyperlink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899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GOST type A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081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4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0815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4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7fb5"/>
    <w:pPr>
      <w:widowControl/>
      <w:bidi w:val="0"/>
      <w:spacing w:lineRule="auto" w:line="276" w:before="0" w:after="200"/>
      <w:jc w:val="star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02b4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22" w:customStyle="1">
    <w:name w:val="Font Style22"/>
    <w:qFormat/>
    <w:rsid w:val="00a47fb5"/>
    <w:rPr>
      <w:rFonts w:ascii="Arial" w:hAnsi="Arial"/>
      <w:sz w:val="16"/>
    </w:rPr>
  </w:style>
  <w:style w:type="character" w:styleId="Style13" w:customStyle="1">
    <w:name w:val="Штампы Знак"/>
    <w:link w:val="Style16"/>
    <w:qFormat/>
    <w:rsid w:val="00a47fb5"/>
    <w:rPr>
      <w:rFonts w:ascii="GOST type A" w:hAnsi="GOST type A" w:eastAsia="Times New Roman" w:cs="Times New Roman"/>
      <w:sz w:val="20"/>
      <w:szCs w:val="24"/>
      <w:lang w:eastAsia="ru-RU"/>
    </w:rPr>
  </w:style>
  <w:style w:type="character" w:styleId="Style14" w:customStyle="1">
    <w:name w:val="Нижний колонтитул Знак"/>
    <w:basedOn w:val="DefaultParagraphFont"/>
    <w:link w:val="Footer"/>
    <w:qFormat/>
    <w:rsid w:val="00a47fb5"/>
    <w:rPr>
      <w:rFonts w:ascii="Calibri" w:hAnsi="Calibri" w:eastAsia="Times New Roman" w:cs="Times New Roman"/>
      <w:lang w:eastAsia="ru-RU"/>
    </w:rPr>
  </w:style>
  <w:style w:type="character" w:styleId="PageNumber">
    <w:name w:val="page number"/>
    <w:basedOn w:val="DefaultParagraphFont"/>
    <w:rsid w:val="00a47fb5"/>
    <w:rPr/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a47fb5"/>
    <w:rPr>
      <w:rFonts w:ascii="Calibri" w:hAnsi="Calibri" w:eastAsia="Times New Roman" w:cs="Times New Roman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02b4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71" w:customStyle="1">
    <w:name w:val="Style7"/>
    <w:basedOn w:val="Normal"/>
    <w:qFormat/>
    <w:rsid w:val="00a47fb5"/>
    <w:pPr>
      <w:widowControl w:val="false"/>
      <w:spacing w:lineRule="exact" w:line="274" w:before="0" w:after="0"/>
      <w:jc w:val="both"/>
    </w:pPr>
    <w:rPr>
      <w:rFonts w:ascii="Times New Roman" w:hAnsi="Times New Roman"/>
      <w:sz w:val="24"/>
      <w:szCs w:val="24"/>
    </w:rPr>
  </w:style>
  <w:style w:type="paragraph" w:styleId="Style19" w:customStyle="1">
    <w:name w:val="Style19"/>
    <w:basedOn w:val="Normal"/>
    <w:qFormat/>
    <w:rsid w:val="00a47fb5"/>
    <w:pPr>
      <w:widowControl w:val="false"/>
      <w:spacing w:lineRule="exact" w:line="269" w:before="0" w:after="0"/>
      <w:jc w:val="both"/>
    </w:pPr>
    <w:rPr>
      <w:rFonts w:ascii="Times New Roman" w:hAnsi="Times New Roman"/>
      <w:sz w:val="24"/>
      <w:szCs w:val="24"/>
    </w:rPr>
  </w:style>
  <w:style w:type="paragraph" w:styleId="Style17" w:customStyle="1">
    <w:name w:val="Style17"/>
    <w:basedOn w:val="Normal"/>
    <w:qFormat/>
    <w:rsid w:val="00a47fb5"/>
    <w:pPr>
      <w:widowControl w:val="false"/>
      <w:spacing w:lineRule="exact" w:line="407" w:before="0" w:after="0"/>
      <w:jc w:val="both"/>
    </w:pPr>
    <w:rPr>
      <w:rFonts w:ascii="Arial" w:hAnsi="Arial" w:cs="Arial"/>
      <w:sz w:val="24"/>
      <w:szCs w:val="24"/>
    </w:rPr>
  </w:style>
  <w:style w:type="paragraph" w:styleId="Style16" w:customStyle="1">
    <w:name w:val="Штампы"/>
    <w:link w:val="Style13"/>
    <w:qFormat/>
    <w:rsid w:val="00a47fb5"/>
    <w:pPr>
      <w:widowControl/>
      <w:bidi w:val="0"/>
      <w:spacing w:lineRule="auto" w:line="240" w:before="0" w:after="0"/>
      <w:ind w:start="28"/>
      <w:jc w:val="start"/>
    </w:pPr>
    <w:rPr>
      <w:rFonts w:ascii="GOST type A" w:hAnsi="GOST type A" w:eastAsia="Times New Roman" w:cs="Times New Roman"/>
      <w:color w:val="auto"/>
      <w:kern w:val="0"/>
      <w:sz w:val="20"/>
      <w:szCs w:val="24"/>
      <w:lang w:eastAsia="ru-RU" w:val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rsid w:val="00a47f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5"/>
    <w:uiPriority w:val="99"/>
    <w:unhideWhenUsed/>
    <w:rsid w:val="00a47fb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image" Target="media/image1.png"/><Relationship Id="rId9" Type="http://schemas.openxmlformats.org/officeDocument/2006/relationships/hyperlink" Target="https://github.com/Silexj/testing-software/tree/lab6-locust/lab6" TargetMode="External"/><Relationship Id="rId10" Type="http://schemas.openxmlformats.org/officeDocument/2006/relationships/hyperlink" Target="https://docs.locust.io/en/stable/writing-a-locustfile.html" TargetMode="External"/><Relationship Id="rId11" Type="http://schemas.openxmlformats.org/officeDocument/2006/relationships/hyperlink" Target="https://docs.locust.io/en/stable/configuration.html" TargetMode="External"/><Relationship Id="rId12" Type="http://schemas.openxmlformats.org/officeDocument/2006/relationships/hyperlink" Target="https://docs.locust.io/en/stable/api.html" TargetMode="External"/><Relationship Id="rId13" Type="http://schemas.openxmlformats.org/officeDocument/2006/relationships/hyperlink" Target="https://jsonplaceholder.typicode.com/guide/" TargetMode="External"/><Relationship Id="rId14" Type="http://schemas.openxmlformats.org/officeDocument/2006/relationships/hyperlink" Target="https://github.com/chubin/wttr.in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LibreOffice/26.2.6.3$Linux_X86_64 LibreOffice_project/620$Build-3</Application>
  <AppVersion>15.0000</AppVersion>
  <Pages>8</Pages>
  <Words>1422</Words>
  <Characters>11466</Characters>
  <CharactersWithSpaces>13076</CharactersWithSpaces>
  <Paragraphs>107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2025-09-01T09:10:00Z</dcterms:created>
  <dc:creator>Arn Ahh</dc:creator>
  <dc:description/>
  <dc:language>en-US</dc:language>
  <cp:lastModifiedBy/>
  <cp:lastPrinted>2026-09-26T09:16:22Z</cp:lastPrinted>
  <dcterms:modified xsi:type="dcterms:W3CDTF">2026-09-26T09:16:27Z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