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start="-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start="-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цифрового развития</w:t>
      </w:r>
    </w:p>
    <w:p>
      <w:pPr>
        <w:pStyle w:val="Normal"/>
        <w:spacing w:lineRule="auto" w:line="240" w:before="0" w:after="0"/>
        <w:ind w:start="-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«Сибирский государственный университет телекоммуникаций и информатики»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(СибГУТИ)</w:t>
      </w:r>
    </w:p>
    <w:p>
      <w:pPr>
        <w:pStyle w:val="Style71"/>
        <w:widowControl/>
        <w:spacing w:lineRule="auto" w:line="240"/>
        <w:ind w:end="-1"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end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rStyle w:val="FontStyle22"/>
          <w:rFonts w:cs="Times New Roman"/>
          <w:b w:val="false"/>
          <w:i w:val="false"/>
          <w:sz w:val="28"/>
          <w:szCs w:val="28"/>
        </w:rPr>
        <w:t>Кафедра прикладной математики и кибернетики</w:t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Title"/>
        <w:widowControl/>
        <w:spacing w:lineRule="auto" w:line="240" w:before="0" w:after="0"/>
        <w:contextualSpacing/>
        <w:jc w:val="center"/>
        <w:rPr>
          <w:rStyle w:val="FontStyle22"/>
          <w:rFonts w:ascii="Times New Roman" w:hAnsi="Times New Roman"/>
          <w:sz w:val="36"/>
          <w:szCs w:val="36"/>
        </w:rPr>
      </w:pPr>
      <w:r>
        <w:rPr>
          <w:rStyle w:val="FontStyle22"/>
          <w:rFonts w:cs="Times New Roman" w:ascii="Times New Roman" w:hAnsi="Times New Roman" w:eastAsia="Times New Roman"/>
          <w:b/>
          <w:i w:val="false"/>
          <w:color w:val="000000"/>
          <w:sz w:val="36"/>
          <w:szCs w:val="36"/>
        </w:rPr>
        <w:t>Отчёт</w:t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  <w:t>по дисциплине «Тестирование программного обеспечения»</w:t>
        <w:br/>
        <w:t>по лабораторной работе № 8</w:t>
        <w:br/>
        <w:t>«Профилирование ПО»</w:t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sz w:val="28"/>
          <w:szCs w:val="28"/>
        </w:rPr>
      </w:pPr>
      <w:r>
        <w:rPr>
          <w:rStyle w:val="FontStyle22"/>
          <w:sz w:val="28"/>
          <w:szCs w:val="28"/>
        </w:rPr>
        <w:t xml:space="preserve"> </w:t>
      </w:r>
      <w:r>
        <w:rPr>
          <w:rStyle w:val="FontStyle22"/>
          <w:sz w:val="28"/>
          <w:szCs w:val="28"/>
        </w:rPr>
        <w:br/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7"/>
        <w:widowControl/>
        <w:spacing w:lineRule="auto" w:line="240"/>
        <w:ind w:end="-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"/>
        <w:widowControl/>
        <w:spacing w:lineRule="auto" w:line="240"/>
        <w:ind w:start="4111"/>
        <w:jc w:val="star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Выполнил</w:t>
      </w:r>
      <w:r>
        <w:rPr>
          <w:rStyle w:val="FontStyle22"/>
          <w:rFonts w:cs="Times New Roman" w:ascii="Times New Roman" w:hAnsi="Times New Roman"/>
          <w:sz w:val="28"/>
          <w:szCs w:val="28"/>
        </w:rPr>
        <w:t>и</w:t>
      </w:r>
      <w:r>
        <w:rPr>
          <w:rStyle w:val="FontStyle22"/>
          <w:rFonts w:cs="Times New Roman" w:ascii="Times New Roman" w:hAnsi="Times New Roman"/>
          <w:sz w:val="28"/>
          <w:szCs w:val="28"/>
        </w:rPr>
        <w:t>:</w:t>
      </w:r>
    </w:p>
    <w:p>
      <w:pPr>
        <w:pStyle w:val="Style17"/>
        <w:widowControl/>
        <w:spacing w:lineRule="auto" w:line="240"/>
        <w:ind w:start="4111"/>
        <w:jc w:val="star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"/>
        <w:widowControl/>
        <w:spacing w:lineRule="auto" w:line="240"/>
        <w:ind w:start="4111"/>
        <w:jc w:val="star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студенты группы    ИП-413</w:t>
        <w:br/>
        <w:tab/>
        <w:tab/>
        <w:tab/>
        <w:tab/>
        <w:t xml:space="preserve"> Хайретдинов Д. Д.</w:t>
      </w:r>
    </w:p>
    <w:p>
      <w:pPr>
        <w:pStyle w:val="Style17"/>
        <w:widowControl/>
        <w:spacing w:lineRule="auto" w:line="240"/>
        <w:ind w:start="4111"/>
        <w:jc w:val="star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ab/>
        <w:tab/>
        <w:tab/>
        <w:tab/>
        <w:t xml:space="preserve"> Сёмин Д.В.</w:t>
      </w:r>
      <w:r>
        <w:rPr>
          <w:rStyle w:val="FontStyle22"/>
          <w:rFonts w:cs="Times New Roman" w:ascii="Times New Roman" w:hAnsi="Times New Roman"/>
          <w:sz w:val="28"/>
          <w:szCs w:val="28"/>
        </w:rPr>
        <w:br/>
        <w:br/>
        <w:t xml:space="preserve">Работу проверил: </w:t>
        <w:tab/>
        <w:t>преподаватель</w:t>
        <w:br/>
        <w:tab/>
        <w:tab/>
        <w:tab/>
        <w:tab/>
        <w:t>Истомина А.С.</w:t>
      </w:r>
      <w:r>
        <w:rPr>
          <w:rStyle w:val="FontStyle22"/>
          <w:rFonts w:cs="Times New Roman" w:ascii="Times New Roman" w:hAnsi="Times New Roman"/>
          <w:sz w:val="20"/>
          <w:szCs w:val="20"/>
        </w:rPr>
        <w:t xml:space="preserve">        </w:t>
      </w:r>
    </w:p>
    <w:p>
      <w:pPr>
        <w:pStyle w:val="Style17"/>
        <w:widowControl/>
        <w:spacing w:lineRule="auto" w:line="240"/>
        <w:jc w:val="star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6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 202</w:t>
      </w: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>
      <w:r>
        <w:br w:type="page"/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1 Цель и задачи работы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Освоить профилирование OpenBMC в QEMU для выявления потребления ресурсов. Собрать метрики процесса эмулятора с помощью perf, показатели хоста через vmstat и сетевую статистику через nmon. Сравнить CPU хоста и память QEMU в простое и под нагрузкой, предложить параметры оптимизации.</w:t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2 Теоретические сведения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Профилирование связывает нагрузку с расходом процессорного времени, памяти и сетевых ресурсов. perf stat считает аппаратные события CPU хоста: циклы, инструкции и промахи кэша. IPC вычисляется как отношение инструкций к циклам. При эмуляции ARM на x86 эти события относятся к выполнению QEMU, а не к счётчикам виртуального ARM-процессора.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RSS показывает резидентную память процесса в физической памяти хоста. Она включает ОЗУ гостя, кэш трансляции TCG и служебные данные QEMU. Поэтому RSS не совпадает с параметром -m. vmstat даёт загрузку CPU всего хоста, nmon — скорость обмена по каждому сетевому интерфейсу.</w:t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3 Окружение и условия эксперимента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540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Компонент</w:t>
            </w:r>
          </w:p>
        </w:tc>
        <w:tc>
          <w:tcPr>
            <w:tcW w:type="dxa" w:w="754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Конфигурация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Хост</w:t>
            </w:r>
          </w:p>
        </w:tc>
        <w:tc>
          <w:tcPr>
            <w:tcW w:type="dxa" w:w="754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Intel Core i5-12450H, 12 логических CPU; Fedora Linux 44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Ядро и perf</w:t>
            </w:r>
          </w:p>
        </w:tc>
        <w:tc>
          <w:tcPr>
            <w:tcW w:type="dxa" w:w="754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7.2.10-200.fc44.x86_64; perf 7.2.10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OpenBMC</w:t>
            </w:r>
          </w:p>
        </w:tc>
        <w:tc>
          <w:tcPr>
            <w:tcW w:type="dxa" w:w="754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Romulus BUILD_ID 20250902012112; исходная flash не изменяется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QEMU</w:t>
            </w:r>
          </w:p>
        </w:tc>
        <w:tc>
          <w:tcPr>
            <w:tcW w:type="dxa" w:w="754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10.0.13 в отдельном Docker-контейнере; TCG, ОЗУ гостя 256 MiB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Инструменты</w:t>
            </w:r>
          </w:p>
        </w:tc>
        <w:tc>
          <w:tcPr>
            <w:tcW w:type="dxa" w:w="754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vmstat, nmon 16s, Locust 2.46.7; RSS из /proc/PID/stat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Нагрузка</w:t>
            </w:r>
          </w:p>
        </w:tc>
        <w:tc>
          <w:tcPr>
            <w:tcW w:type="dxa" w:w="754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 пользователей, разгон 2/с, чтение Redfish; паузы 1–3 с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Каждый вариант запускается с новой копией flash. После готовности API и состояния Off выдерживается 30 с прогрева. Далее записываются 60 с простоя и 60 с нагрузки. Jenkins и другие контейнеры во время измерений остановлены. Питание хоста OpenBMC остаётся Off; аппаратный профиль датчиков для чтения системы не требуется.</w:t>
      </w:r>
    </w:p>
    <w:p>
      <w:r>
        <w:br w:type="page"/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4 Сбор и обработка метрик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perf stat --no-scale -x ";" \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  -e cycles:u,instructions:u,cache-misses:u -p PID -- sleep 60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vmstat -w 1 61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nmon -F network.nmon -s 1 -c 61 -p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perf присоединяется к QEMU после загрузки. Суффикс :u разрешает измерять пользовательский код при perf_event_paranoid=2 без изменения настроек ядра. На гибридном Intel счётчики cpu_core и cpu_atom суммируются без масштабирования. Первый снимок nmon служит для синхронизации, первая строка vmstat усреднена с загрузки хоста; обе исключены.</w:t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5 Результаты обычного запуска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268"/>
        <w:gridCol w:w="2268"/>
      </w:tblGrid>
      <w:tr>
        <w:trPr>
          <w:cantSplit/>
          <w:tblHeader/>
        </w:trPr>
        <w:tc>
          <w:tcPr>
            <w:tcW w:type="dxa" w:w="481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Показатель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Простой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Нагрузка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CPU хоста, % всех CPU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10.09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14.34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CPU QEMU, % одного ядра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23.05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62.78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RSS QEMU среднее, MiB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630.22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632.45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RSS QEMU максимум, MiB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630.22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632.54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CPU хоста по vmstat, %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10.23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14.35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Циклы QEMU, млрд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30.638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136.421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Инструкции QEMU, млрд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64.182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354.300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IPC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2.095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2.597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Промахи кэша, млн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130.785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697.522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docker0 приём, KiB/с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0.01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15.27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docker0 передача, KiB/с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0.02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2.71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CPU хоста и CPU QEMU имеют разные знаменатели: 100% процесса соответствует одному занятому логическому CPU, а 100% хоста — всем 12. RSS приведён в MiB (2²⁰ байт). Сетевые интерфейсы не суммируются, чтобы не учитывать один пакет повторно при прохождении Docker bridge и veth.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Locust выполнил 301 запросов без ошибок; среднее время 195.17 мс, p95 400 мс, частота 5.02 запроса/с. Достигнуты 10 пользователей. Созданы и удалены 10 сессий. Все 60 измерений CPU/RSS и сетевые интервалы сохранены в исходных файлах.</w:t>
      </w:r>
    </w:p>
    <w:p>
      <w:r>
        <w:br w:type="page"/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6 Сравнение параметров запуска QEMU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Повторный опыт выполнен с -accel tcg,tb-size=64. Остальные параметры, образ прошивки, длительности и сценарий нагрузки одинаковы. Ниже показаны ежесекундные данные двух опытов; пауза между фазами на оси времени не отображается.</w:t>
      </w:r>
    </w:p>
    <w:p>
      <w:pPr>
        <w:jc w:val="center"/>
      </w:pPr>
      <w:r>
        <w:drawing>
          <wp:inline xmlns:a="http://schemas.openxmlformats.org/drawingml/2006/main">
            <wp:extent cx="5940000" cy="4231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31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1 — CPU и RSS в простое и под нагрузкой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693"/>
        <w:gridCol w:w="2693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При нагрузке</w:t>
            </w:r>
          </w:p>
        </w:tc>
        <w:tc>
          <w:tcPr>
            <w:tcW w:type="dxa" w:w="269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TCG по умолчанию</w:t>
            </w:r>
          </w:p>
        </w:tc>
        <w:tc>
          <w:tcPr>
            <w:tcW w:type="dxa" w:w="269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TCG кэш 64 MiB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CPU хоста, %</w:t>
            </w:r>
          </w:p>
        </w:tc>
        <w:tc>
          <w:tcPr>
            <w:tcW w:type="dxa" w:w="269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14.34</w:t>
            </w:r>
          </w:p>
        </w:tc>
        <w:tc>
          <w:tcPr>
            <w:tcW w:type="dxa" w:w="269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11.16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CPU QEMU, % ядра</w:t>
            </w:r>
          </w:p>
        </w:tc>
        <w:tc>
          <w:tcPr>
            <w:tcW w:type="dxa" w:w="269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62.78</w:t>
            </w:r>
          </w:p>
        </w:tc>
        <w:tc>
          <w:tcPr>
            <w:tcW w:type="dxa" w:w="269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58.25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RSS среднее, MiB</w:t>
            </w:r>
          </w:p>
        </w:tc>
        <w:tc>
          <w:tcPr>
            <w:tcW w:type="dxa" w:w="269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632.45</w:t>
            </w:r>
          </w:p>
        </w:tc>
        <w:tc>
          <w:tcPr>
            <w:tcW w:type="dxa" w:w="269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492.96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Запросы / ошибки</w:t>
            </w:r>
          </w:p>
        </w:tc>
        <w:tc>
          <w:tcPr>
            <w:tcW w:type="dxa" w:w="269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301 / 0</w:t>
            </w:r>
          </w:p>
        </w:tc>
        <w:tc>
          <w:tcPr>
            <w:tcW w:type="dxa" w:w="269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297 / 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p95 ответа, мс</w:t>
            </w:r>
          </w:p>
        </w:tc>
        <w:tc>
          <w:tcPr>
            <w:tcW w:type="dxa" w:w="269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269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330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Вариант с кэшем 64 MiB снизил средний RSS под нагрузкой на 22.1% относительно обычного запуска. Оба опыта завершились без ошибок HTTP и без оставшихся сессий. Различия времени ответа и CPU по одному короткому прогону не доказывают устойчивого ускорения.</w:t>
      </w:r>
    </w:p>
    <w:p>
      <w:r>
        <w:br w:type="page"/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7 Предложения по оптимизации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Размер кэша трансляции. Для данного сценария можно использовать проверенный вариант -accel tcg,tb-size=64. Он ограничивает кэш скомпилированных блоков TCG. При расширении набора операций и длительности работы стоит повторить измерения: слишком маленький кэш может потребовать повторной трансляции и увеличить расход CPU.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ОЗУ гостя. В обоих опытах сохранён -m 256. Это память виртуальной машины, а не лимит RSS процесса. Уменьшать её следует только после проверки свободной памяти внутри OpenBMC и отсутствия OOM; увеличение памяти не устраняет стоимость эмуляции ARM на x86.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Интерфейсы вывода. Для автоматических тестов достаточно -display none -monitor none -serial stdio: графический интерфейс и удалённый монитор не используются, консоль сохраняется для диагностики. Эти параметры уже применены в обоих вариантах; их отдельный эффект в работе не измерялся. KVM для ARM-гостя на данном x86-хосте не предлагается.</w:t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8 Вывод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Собраны аппаратные счётчики QEMU, загрузка CPU хоста, резидентная память и сетевой обмен в простое и под реальной нагрузкой Redfish. Выполнено сравнение двух вариантов кэша TCG. Работоспособность обоих подтверждена отсутствием ошибок запросов, удалением сессий и состоянием Off после нагрузки. CPU хоста включает Locust и фоновые процессы. Результаты характеризуют короткий опыт на данном компьютере, а не предел производительности OpenBMC.</w:t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9 Запуск и материалы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docker build -t testing-software-qemu:lab8 -f lab8/Dockerfile lab8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# BMC_PASSWORD задаётся отдельно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python lab8/run_profile.py /absolute/path/to/romulus.static.mtd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python lab8/analyze_results.py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повторной демонстрации добавить --run-name demo. В README приведены подготовка инструментов, второй запуск с --tb-size 64 и порядок показа сырых файлов perf, vmstat, nmon, отчёта Locust и графика. Результаты сохраняются в lab8/results; SHA256SUMS позволяет проверить их целостность.</w:t>
      </w:r>
    </w:p>
    <w:p>
      <w:pPr>
        <w:spacing w:after="120" w:line="276" w:lineRule="auto"/>
      </w:pPr>
      <w:hyperlink r:id="rId13">
        <w:r>
          <w:rPr>
            <w:rFonts w:ascii="Times New Roman" w:hAnsi="Times New Roman"/>
            <w:sz w:val="22"/>
            <w:color w:val="0000EE"/>
          </w:rPr>
          <w:t>GitHub — ветка лабораторной 8</w:t>
        </w:r>
      </w:hyperlink>
    </w:p>
    <w:p>
      <w:pPr>
        <w:spacing w:after="120" w:line="276" w:lineRule="auto"/>
      </w:pPr>
      <w:hyperlink r:id="rId14">
        <w:r>
          <w:rPr>
            <w:rFonts w:ascii="Times New Roman" w:hAnsi="Times New Roman"/>
            <w:sz w:val="22"/>
            <w:color w:val="0000EE"/>
          </w:rPr>
          <w:t>QEMU — параметры запуска</w:t>
        </w:r>
      </w:hyperlink>
    </w:p>
    <w:p>
      <w:pPr>
        <w:spacing w:after="120" w:line="276" w:lineRule="auto"/>
      </w:pPr>
      <w:hyperlink r:id="rId15">
        <w:r>
          <w:rPr>
            <w:rFonts w:ascii="Times New Roman" w:hAnsi="Times New Roman"/>
            <w:sz w:val="22"/>
            <w:color w:val="0000EE"/>
          </w:rPr>
          <w:t>Linux — доступ к аппаратным счётчикам perf</w:t>
        </w:r>
      </w:hyperlink>
    </w:p>
    <w:p>
      <w:pPr>
        <w:spacing w:after="120" w:line="276" w:lineRule="auto"/>
      </w:pPr>
      <w:hyperlink r:id="rId16">
        <w:r>
          <w:rPr>
            <w:rFonts w:ascii="Times New Roman" w:hAnsi="Times New Roman"/>
            <w:sz w:val="22"/>
            <w:color w:val="0000EE"/>
          </w:rPr>
          <w:t>nmon — документация</w:t>
        </w:r>
      </w:hyperlink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899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GOST type A"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7081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708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3.45pt;mso-wrap-distance-left:0pt;mso-wrap-distance-right:0pt;mso-wrap-distance-top:0pt;mso-wrap-distance-bottom:0pt;margin-top:0.05pt;mso-position-vertical-relative:text;margin-left:466.6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70815"/>
              <wp:effectExtent l="0" t="0" r="0" b="0"/>
              <wp:wrapSquare wrapText="bothSides"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708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3.45pt;mso-wrap-distance-left:0pt;mso-wrap-distance-right:0pt;mso-wrap-distance-top:0pt;mso-wrap-distance-bottom:0pt;margin-top:0.05pt;mso-position-vertical-relative:text;margin-left:466.6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7fb5"/>
    <w:pPr>
      <w:widowControl/>
      <w:bidi w:val="0"/>
      <w:spacing w:lineRule="auto" w:line="276" w:before="0" w:after="200"/>
      <w:jc w:val="star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eastAsia="ru-RU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d02b43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Style22" w:customStyle="1">
    <w:name w:val="Font Style22"/>
    <w:qFormat/>
    <w:rsid w:val="00a47fb5"/>
    <w:rPr>
      <w:rFonts w:ascii="Arial" w:hAnsi="Arial"/>
      <w:sz w:val="16"/>
    </w:rPr>
  </w:style>
  <w:style w:type="character" w:styleId="Style13" w:customStyle="1">
    <w:name w:val="Штампы Знак"/>
    <w:link w:val="Style16"/>
    <w:qFormat/>
    <w:rsid w:val="00a47fb5"/>
    <w:rPr>
      <w:rFonts w:ascii="GOST type A" w:hAnsi="GOST type A" w:eastAsia="Times New Roman" w:cs="Times New Roman"/>
      <w:sz w:val="20"/>
      <w:szCs w:val="24"/>
      <w:lang w:eastAsia="ru-RU"/>
    </w:rPr>
  </w:style>
  <w:style w:type="character" w:styleId="Style14" w:customStyle="1">
    <w:name w:val="Нижний колонтитул Знак"/>
    <w:basedOn w:val="DefaultParagraphFont"/>
    <w:link w:val="Footer"/>
    <w:qFormat/>
    <w:rsid w:val="00a47fb5"/>
    <w:rPr>
      <w:rFonts w:ascii="Calibri" w:hAnsi="Calibri" w:eastAsia="Times New Roman" w:cs="Times New Roman"/>
      <w:lang w:eastAsia="ru-RU"/>
    </w:rPr>
  </w:style>
  <w:style w:type="character" w:styleId="PageNumber">
    <w:name w:val="page number"/>
    <w:basedOn w:val="DefaultParagraphFont"/>
    <w:rsid w:val="00a47fb5"/>
    <w:rPr/>
  </w:style>
  <w:style w:type="character" w:styleId="Style15" w:customStyle="1">
    <w:name w:val="Верхний колонтитул Знак"/>
    <w:basedOn w:val="DefaultParagraphFont"/>
    <w:link w:val="Header"/>
    <w:uiPriority w:val="99"/>
    <w:qFormat/>
    <w:rsid w:val="00a47fb5"/>
    <w:rPr>
      <w:rFonts w:ascii="Calibri" w:hAnsi="Calibri" w:eastAsia="Times New Roman" w:cs="Times New Roman"/>
      <w:lang w:eastAsia="ru-RU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d02b43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eastAsia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71" w:customStyle="1">
    <w:name w:val="Style7"/>
    <w:basedOn w:val="Normal"/>
    <w:qFormat/>
    <w:rsid w:val="00a47fb5"/>
    <w:pPr>
      <w:widowControl w:val="false"/>
      <w:spacing w:lineRule="exact" w:line="274" w:before="0" w:after="0"/>
      <w:jc w:val="both"/>
    </w:pPr>
    <w:rPr>
      <w:rFonts w:ascii="Times New Roman" w:hAnsi="Times New Roman"/>
      <w:sz w:val="24"/>
      <w:szCs w:val="24"/>
    </w:rPr>
  </w:style>
  <w:style w:type="paragraph" w:styleId="Style19" w:customStyle="1">
    <w:name w:val="Style19"/>
    <w:basedOn w:val="Normal"/>
    <w:qFormat/>
    <w:rsid w:val="00a47fb5"/>
    <w:pPr>
      <w:widowControl w:val="false"/>
      <w:spacing w:lineRule="exact" w:line="269" w:before="0" w:after="0"/>
      <w:jc w:val="both"/>
    </w:pPr>
    <w:rPr>
      <w:rFonts w:ascii="Times New Roman" w:hAnsi="Times New Roman"/>
      <w:sz w:val="24"/>
      <w:szCs w:val="24"/>
    </w:rPr>
  </w:style>
  <w:style w:type="paragraph" w:styleId="Style17" w:customStyle="1">
    <w:name w:val="Style17"/>
    <w:basedOn w:val="Normal"/>
    <w:qFormat/>
    <w:rsid w:val="00a47fb5"/>
    <w:pPr>
      <w:widowControl w:val="false"/>
      <w:spacing w:lineRule="exact" w:line="407" w:before="0" w:after="0"/>
      <w:jc w:val="both"/>
    </w:pPr>
    <w:rPr>
      <w:rFonts w:ascii="Arial" w:hAnsi="Arial" w:cs="Arial"/>
      <w:sz w:val="24"/>
      <w:szCs w:val="24"/>
    </w:rPr>
  </w:style>
  <w:style w:type="paragraph" w:styleId="Style16" w:customStyle="1">
    <w:name w:val="Штампы"/>
    <w:link w:val="Style13"/>
    <w:qFormat/>
    <w:rsid w:val="00a47fb5"/>
    <w:pPr>
      <w:widowControl/>
      <w:bidi w:val="0"/>
      <w:spacing w:lineRule="auto" w:line="240" w:before="0" w:after="0"/>
      <w:ind w:start="28"/>
      <w:jc w:val="start"/>
    </w:pPr>
    <w:rPr>
      <w:rFonts w:ascii="GOST type A" w:hAnsi="GOST type A" w:eastAsia="Times New Roman" w:cs="Times New Roman"/>
      <w:color w:val="auto"/>
      <w:kern w:val="0"/>
      <w:sz w:val="20"/>
      <w:szCs w:val="24"/>
      <w:lang w:eastAsia="ru-RU" w:val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4"/>
    <w:rsid w:val="00a47fb5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5"/>
    <w:uiPriority w:val="99"/>
    <w:unhideWhenUsed/>
    <w:rsid w:val="00a47fb5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hyperlink" Target="https://github.com/Silexj/testing-software/tree/lab5-redfish-pytest/lab5" TargetMode="External"/><Relationship Id="rId9" Type="http://schemas.openxmlformats.org/officeDocument/2006/relationships/hyperlink" Target="https://redfish.dmtf.org/schemas/DSP0266_1.17.0.html" TargetMode="External"/><Relationship Id="rId10" Type="http://schemas.openxmlformats.org/officeDocument/2006/relationships/hyperlink" Target="https://redfish.dmtf.org/schemas/v1/Thermal.v1_7_3.json" TargetMode="External"/><Relationship Id="rId11" Type="http://schemas.openxmlformats.org/officeDocument/2006/relationships/hyperlink" Target="https://github.com/ipmitool/ipmitool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github.com/Silexj/testing-software/tree/lab8-profiling" TargetMode="External"/><Relationship Id="rId14" Type="http://schemas.openxmlformats.org/officeDocument/2006/relationships/hyperlink" Target="https://www.qemu.org/docs/master/system/invocation.html" TargetMode="External"/><Relationship Id="rId15" Type="http://schemas.openxmlformats.org/officeDocument/2006/relationships/hyperlink" Target="https://www.kernel.org/doc/html/latest/admin-guide/perf-security.html" TargetMode="External"/><Relationship Id="rId16" Type="http://schemas.openxmlformats.org/officeDocument/2006/relationships/hyperlink" Target="https://nmon.sourceforge.io/pmwiki.php?n=Site.Documentation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LibreOffice/26.2.6.3$Linux_X86_64 LibreOffice_project/620$Build-3</Application>
  <AppVersion>15.0000</AppVersion>
  <Pages>8</Pages>
  <Words>1422</Words>
  <Characters>11466</Characters>
  <CharactersWithSpaces>13076</CharactersWithSpaces>
  <Paragraphs>107</Paragraphs>
  <Company>diakov.net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2025-09-01T09:10:00Z</dcterms:created>
  <dc:creator>Arn Ahh</dc:creator>
  <dc:description/>
  <dc:language>en-US</dc:language>
  <cp:lastModifiedBy/>
  <cp:lastPrinted>2026-09-26T09:16:22Z</cp:lastPrinted>
  <dcterms:modified xsi:type="dcterms:W3CDTF">2026-09-26T09:16:27Z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