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t>Sample – Superstore</w:t>
      </w:r>
    </w:p>
    <w:p>
      <w:pPr>
        <w:pStyle w:val="Subtitle"/>
        <w:jc w:val="center"/>
      </w:pPr>
      <w:r>
        <w:t>Comprehensive Technical Documentation</w:t>
      </w:r>
    </w:p>
    <w:p>
      <w:pPr>
        <w:jc w:val="center"/>
      </w:pPr>
      <w:r>
        <w:rPr>
          <w:color w:val="595959"/>
          <w:sz w:val="22"/>
        </w:rPr>
        <w:t>April 16, 2026</w:t>
      </w:r>
    </w:p>
    <w:p/>
    <w:p>
      <w:r>
        <w:br w:type="page"/>
      </w:r>
    </w:p>
    <w:p>
      <w:pPr>
        <w:pStyle w:val="Heading1"/>
      </w:pPr>
      <w:r>
        <w:t>1. Purpose &amp; Audience</w:t>
      </w:r>
    </w:p>
    <w:p>
      <w:pPr/>
      <w:r>
        <w:rPr>
          <w:sz w:val="20"/>
        </w:rPr>
        <w:t>This workbook is designed for sales managers, product analysts, finance teams, and operations staff at a retail organization. It provides interactive visibility into five core business domains: (1) sales performance versus targets by region, category, and segment; (2) product-level profitability and demand forecasting; (3) customer revenue ranking and scatter analysis; (4) order fulfillment timeliness; and (5) sales compensation modeling. The primary audience is business analysts and managers who need to make data-driven decisions without writing SQL. Secondary audiences include finance teams modeling compensation scenarios and operations teams monitoring shipping SLAs.</w:t>
      </w:r>
    </w:p>
    <w:p>
      <w:pPr>
        <w:pStyle w:val="Heading1"/>
      </w:pPr>
      <w:r>
        <w:t>2. Terminology &amp; Conventions</w:t>
      </w:r>
    </w:p>
    <w:p>
      <w:pPr/>
      <w:r>
        <w:rPr>
          <w:sz w:val="20"/>
        </w:rPr>
        <w:t>Use this section as a reference guide for terms used throughout this document.</w:t>
      </w:r>
    </w:p>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95"/>
          </w:tcPr>
          <w:p>
            <w:pPr>
              <w:jc w:val="center"/>
            </w:pPr>
            <w:r/>
            <w:r>
              <w:rPr>
                <w:b/>
                <w:color w:val="FFFFFF"/>
                <w:sz w:val="18"/>
              </w:rPr>
              <w:t>Term</w:t>
            </w:r>
          </w:p>
        </w:tc>
        <w:tc>
          <w:tcPr>
            <w:tcW w:type="dxa" w:w="4680"/>
            <w:shd w:val="clear" w:color="auto" w:fill="1F4995"/>
          </w:tcPr>
          <w:p>
            <w:pPr>
              <w:jc w:val="center"/>
            </w:pPr>
            <w:r/>
            <w:r>
              <w:rPr>
                <w:b/>
                <w:color w:val="FFFFFF"/>
                <w:sz w:val="18"/>
              </w:rPr>
              <w:t>Definition</w:t>
            </w:r>
          </w:p>
        </w:tc>
      </w:tr>
      <w:tr>
        <w:tc>
          <w:tcPr>
            <w:tcW w:type="dxa" w:w="4680"/>
            <w:shd w:val="clear" w:color="auto" w:fill="F2F2F2"/>
          </w:tcPr>
          <w:p>
            <w:pPr>
              <w:jc w:val="left"/>
            </w:pPr>
            <w:r/>
            <w:r>
              <w:rPr>
                <w:sz w:val="17"/>
              </w:rPr>
              <w:t>Workbook</w:t>
            </w:r>
          </w:p>
        </w:tc>
        <w:tc>
          <w:tcPr>
            <w:tcW w:type="dxa" w:w="4680"/>
            <w:shd w:val="clear" w:color="auto" w:fill="F2F2F2"/>
          </w:tcPr>
          <w:p>
            <w:pPr>
              <w:jc w:val="left"/>
            </w:pPr>
            <w:r/>
            <w:r>
              <w:rPr>
                <w:sz w:val="17"/>
              </w:rPr>
              <w:t>The entire Superstore.xml file containing all data sources, parameters, worksheets, and dashboards.</w:t>
            </w:r>
          </w:p>
        </w:tc>
      </w:tr>
      <w:tr>
        <w:tc>
          <w:tcPr>
            <w:tcW w:type="dxa" w:w="4680"/>
            <w:shd w:val="clear" w:color="auto" w:fill="FFFFFF"/>
          </w:tcPr>
          <w:p>
            <w:pPr>
              <w:jc w:val="left"/>
            </w:pPr>
            <w:r/>
            <w:r>
              <w:rPr>
                <w:sz w:val="17"/>
              </w:rPr>
              <w:t>Dashboard</w:t>
            </w:r>
          </w:p>
        </w:tc>
        <w:tc>
          <w:tcPr>
            <w:tcW w:type="dxa" w:w="4680"/>
            <w:shd w:val="clear" w:color="auto" w:fill="FFFFFF"/>
          </w:tcPr>
          <w:p>
            <w:pPr>
              <w:jc w:val="left"/>
            </w:pPr>
            <w:r/>
            <w:r>
              <w:rPr>
                <w:sz w:val="17"/>
              </w:rPr>
              <w:t>A composed view containing multiple worksheets arranged on a single canvas, with optional action filters linking the sheets interactively.</w:t>
            </w:r>
          </w:p>
        </w:tc>
      </w:tr>
      <w:tr>
        <w:tc>
          <w:tcPr>
            <w:tcW w:type="dxa" w:w="4680"/>
            <w:shd w:val="clear" w:color="auto" w:fill="F2F2F2"/>
          </w:tcPr>
          <w:p>
            <w:pPr>
              <w:jc w:val="left"/>
            </w:pPr>
            <w:r/>
            <w:r>
              <w:rPr>
                <w:sz w:val="17"/>
              </w:rPr>
              <w:t>Visualization (Worksheet)</w:t>
            </w:r>
          </w:p>
        </w:tc>
        <w:tc>
          <w:tcPr>
            <w:tcW w:type="dxa" w:w="4680"/>
            <w:shd w:val="clear" w:color="auto" w:fill="F2F2F2"/>
          </w:tcPr>
          <w:p>
            <w:pPr>
              <w:jc w:val="left"/>
            </w:pPr>
            <w:r/>
            <w:r>
              <w:rPr>
                <w:sz w:val="17"/>
              </w:rPr>
              <w:t>An individual chart, table, or map built on a single set of rows/columns shelves. Each worksheet has its own filters and mark types.</w:t>
            </w:r>
          </w:p>
        </w:tc>
      </w:tr>
      <w:tr>
        <w:tc>
          <w:tcPr>
            <w:tcW w:type="dxa" w:w="4680"/>
            <w:shd w:val="clear" w:color="auto" w:fill="FFFFFF"/>
          </w:tcPr>
          <w:p>
            <w:pPr>
              <w:jc w:val="left"/>
            </w:pPr>
            <w:r/>
            <w:r>
              <w:rPr>
                <w:sz w:val="17"/>
              </w:rPr>
              <w:t>Global Parameters</w:t>
            </w:r>
          </w:p>
        </w:tc>
        <w:tc>
          <w:tcPr>
            <w:tcW w:type="dxa" w:w="4680"/>
            <w:shd w:val="clear" w:color="auto" w:fill="FFFFFF"/>
          </w:tcPr>
          <w:p>
            <w:pPr>
              <w:jc w:val="left"/>
            </w:pPr>
            <w:r/>
            <w:r>
              <w:rPr>
                <w:sz w:val="17"/>
              </w:rPr>
              <w:t>Parameters defined in the Parameters data source that are available across all dashboards (e.g., Base Salary, New Quota).</w:t>
            </w:r>
          </w:p>
        </w:tc>
      </w:tr>
      <w:tr>
        <w:tc>
          <w:tcPr>
            <w:tcW w:type="dxa" w:w="4680"/>
            <w:shd w:val="clear" w:color="auto" w:fill="F2F2F2"/>
          </w:tcPr>
          <w:p>
            <w:pPr>
              <w:jc w:val="left"/>
            </w:pPr>
            <w:r/>
            <w:r>
              <w:rPr>
                <w:sz w:val="17"/>
              </w:rPr>
              <w:t>Global Filters</w:t>
            </w:r>
          </w:p>
        </w:tc>
        <w:tc>
          <w:tcPr>
            <w:tcW w:type="dxa" w:w="4680"/>
            <w:shd w:val="clear" w:color="auto" w:fill="F2F2F2"/>
          </w:tcPr>
          <w:p>
            <w:pPr>
              <w:jc w:val="left"/>
            </w:pPr>
            <w:r/>
            <w:r>
              <w:rPr>
                <w:sz w:val="17"/>
              </w:rPr>
              <w:t>Filters shared across multiple worksheets via filter groups (e.g., Order Date range in filter-group 8, Year in filter-group 9).</w:t>
            </w:r>
          </w:p>
        </w:tc>
      </w:tr>
      <w:tr>
        <w:tc>
          <w:tcPr>
            <w:tcW w:type="dxa" w:w="4680"/>
            <w:shd w:val="clear" w:color="auto" w:fill="FFFFFF"/>
          </w:tcPr>
          <w:p>
            <w:pPr>
              <w:jc w:val="left"/>
            </w:pPr>
            <w:r/>
            <w:r>
              <w:rPr>
                <w:sz w:val="17"/>
              </w:rPr>
              <w:t>Local Filters</w:t>
            </w:r>
          </w:p>
        </w:tc>
        <w:tc>
          <w:tcPr>
            <w:tcW w:type="dxa" w:w="4680"/>
            <w:shd w:val="clear" w:color="auto" w:fill="FFFFFF"/>
          </w:tcPr>
          <w:p>
            <w:pPr>
              <w:jc w:val="left"/>
            </w:pPr>
            <w:r/>
            <w:r>
              <w:rPr>
                <w:sz w:val="17"/>
              </w:rPr>
              <w:t>Filters applied only to a specific worksheet or dashboard view.</w:t>
            </w:r>
          </w:p>
        </w:tc>
      </w:tr>
      <w:tr>
        <w:tc>
          <w:tcPr>
            <w:tcW w:type="dxa" w:w="4680"/>
            <w:shd w:val="clear" w:color="auto" w:fill="F2F2F2"/>
          </w:tcPr>
          <w:p>
            <w:pPr>
              <w:jc w:val="left"/>
            </w:pPr>
            <w:r/>
            <w:r>
              <w:rPr>
                <w:sz w:val="17"/>
              </w:rPr>
              <w:t>Action Filters</w:t>
            </w:r>
          </w:p>
        </w:tc>
        <w:tc>
          <w:tcPr>
            <w:tcW w:type="dxa" w:w="4680"/>
            <w:shd w:val="clear" w:color="auto" w:fill="F2F2F2"/>
          </w:tcPr>
          <w:p>
            <w:pPr>
              <w:jc w:val="left"/>
            </w:pPr>
            <w:r/>
            <w:r>
              <w:rPr>
                <w:sz w:val="17"/>
              </w:rPr>
              <w:t>Interactive filters triggered by user clicks or hovers on a mark, which propagate selections to other worksheets on the same dashboard.</w:t>
            </w:r>
          </w:p>
        </w:tc>
      </w:tr>
      <w:tr>
        <w:tc>
          <w:tcPr>
            <w:tcW w:type="dxa" w:w="4680"/>
            <w:shd w:val="clear" w:color="auto" w:fill="FFFFFF"/>
          </w:tcPr>
          <w:p>
            <w:pPr>
              <w:jc w:val="left"/>
            </w:pPr>
            <w:r/>
            <w:r>
              <w:rPr>
                <w:sz w:val="17"/>
              </w:rPr>
              <w:t>LOD Expression</w:t>
            </w:r>
          </w:p>
        </w:tc>
        <w:tc>
          <w:tcPr>
            <w:tcW w:type="dxa" w:w="4680"/>
            <w:shd w:val="clear" w:color="auto" w:fill="FFFFFF"/>
          </w:tcPr>
          <w:p>
            <w:pPr>
              <w:jc w:val="left"/>
            </w:pPr>
            <w:r/>
            <w:r>
              <w:rPr>
                <w:sz w:val="17"/>
              </w:rPr>
              <w:t>Level of Detail expression – a Tableau calculation that computes a result at a specified granularity regardless of the current view’s level of detail.</w:t>
            </w:r>
          </w:p>
        </w:tc>
      </w:tr>
      <w:tr>
        <w:tc>
          <w:tcPr>
            <w:tcW w:type="dxa" w:w="4680"/>
            <w:shd w:val="clear" w:color="auto" w:fill="F2F2F2"/>
          </w:tcPr>
          <w:p>
            <w:pPr>
              <w:jc w:val="left"/>
            </w:pPr>
            <w:r/>
            <w:r>
              <w:rPr>
                <w:sz w:val="17"/>
              </w:rPr>
              <w:t>OTE</w:t>
            </w:r>
          </w:p>
        </w:tc>
        <w:tc>
          <w:tcPr>
            <w:tcW w:type="dxa" w:w="4680"/>
            <w:shd w:val="clear" w:color="auto" w:fill="F2F2F2"/>
          </w:tcPr>
          <w:p>
            <w:pPr>
              <w:jc w:val="left"/>
            </w:pPr>
            <w:r/>
            <w:r>
              <w:rPr>
                <w:sz w:val="17"/>
              </w:rPr>
              <w:t>On-Target Earnings – the total compensation a sales rep would receive if they achieve exactly 100% of their quota.</w:t>
            </w:r>
          </w:p>
        </w:tc>
      </w:tr>
      <w:tr>
        <w:tc>
          <w:tcPr>
            <w:tcW w:type="dxa" w:w="4680"/>
            <w:shd w:val="clear" w:color="auto" w:fill="FFFFFF"/>
          </w:tcPr>
          <w:p>
            <w:pPr>
              <w:jc w:val="left"/>
            </w:pPr>
            <w:r/>
            <w:r>
              <w:rPr>
                <w:sz w:val="17"/>
              </w:rPr>
              <w:t>ETS</w:t>
            </w:r>
          </w:p>
        </w:tc>
        <w:tc>
          <w:tcPr>
            <w:tcW w:type="dxa" w:w="4680"/>
            <w:shd w:val="clear" w:color="auto" w:fill="FFFFFF"/>
          </w:tcPr>
          <w:p>
            <w:pPr>
              <w:jc w:val="left"/>
            </w:pPr>
            <w:r/>
            <w:r>
              <w:rPr>
                <w:sz w:val="17"/>
              </w:rPr>
              <w:t>Exponential Triple Smoothing – the statistical model used by Tableau’s built-in forecast feature.</w:t>
            </w:r>
          </w:p>
        </w:tc>
      </w:tr>
    </w:tbl>
    <w:p/>
    <w:p>
      <w:pPr>
        <w:pStyle w:val="Heading1"/>
      </w:pPr>
      <w:r>
        <w:t>3. Workbook Overview</w:t>
      </w:r>
    </w:p>
    <w:p>
      <w:pPr/>
      <w:r>
        <w:rPr>
          <w:sz w:val="20"/>
        </w:rPr>
        <w:t>The Sample – Superstore workbook is a multi-dashboard analytical suite built on three primary data sources. It covers the period January 2022 through December 2025 and contains 21 worksheets organized across 5 dashboards. The workbook includes 6 interactive parameters and leverages cross-dashboard action filters extensively to create a drill-down experience from high-level KPIs to order-level transaction detail.</w:t>
      </w:r>
    </w:p>
    <w:p/>
    <w:p>
      <w:pPr>
        <w:pStyle w:val="Heading2"/>
      </w:pPr>
      <w:r>
        <w:t>3.1 Workbook Metadata</w:t>
      </w:r>
    </w:p>
    <w:tbl>
      <w:tblPr>
        <w:tblStyle w:val="TableGrid"/>
        <w:tblW w:type="auto" w:w="0"/>
        <w:jc w:val="left"/>
        <w:tblLook w:firstColumn="1" w:firstRow="1" w:lastColumn="0" w:lastRow="0" w:noHBand="0" w:noVBand="1" w:val="04A0"/>
      </w:tblPr>
      <w:tblGrid>
        <w:gridCol w:w="4680"/>
        <w:gridCol w:w="4680"/>
      </w:tblGrid>
      <w:tr>
        <w:tc>
          <w:tcPr>
            <w:tcW w:type="dxa" w:w="4680"/>
            <w:shd w:val="clear" w:color="auto" w:fill="1F4995"/>
          </w:tcPr>
          <w:p>
            <w:pPr>
              <w:jc w:val="center"/>
            </w:pPr>
            <w:r/>
            <w:r>
              <w:rPr>
                <w:b/>
                <w:color w:val="FFFFFF"/>
                <w:sz w:val="18"/>
              </w:rPr>
              <w:t>Item</w:t>
            </w:r>
          </w:p>
        </w:tc>
        <w:tc>
          <w:tcPr>
            <w:tcW w:type="dxa" w:w="4680"/>
            <w:shd w:val="clear" w:color="auto" w:fill="1F4995"/>
          </w:tcPr>
          <w:p>
            <w:pPr>
              <w:jc w:val="center"/>
            </w:pPr>
            <w:r/>
            <w:r>
              <w:rPr>
                <w:b/>
                <w:color w:val="FFFFFF"/>
                <w:sz w:val="18"/>
              </w:rPr>
              <w:t>Value</w:t>
            </w:r>
          </w:p>
        </w:tc>
      </w:tr>
      <w:tr>
        <w:tc>
          <w:tcPr>
            <w:tcW w:type="dxa" w:w="4680"/>
            <w:shd w:val="clear" w:color="auto" w:fill="F2F2F2"/>
          </w:tcPr>
          <w:p>
            <w:pPr>
              <w:jc w:val="left"/>
            </w:pPr>
            <w:r/>
            <w:r>
              <w:rPr>
                <w:sz w:val="17"/>
              </w:rPr>
              <w:t>Workbook Name</w:t>
            </w:r>
          </w:p>
        </w:tc>
        <w:tc>
          <w:tcPr>
            <w:tcW w:type="dxa" w:w="4680"/>
            <w:shd w:val="clear" w:color="auto" w:fill="F2F2F2"/>
          </w:tcPr>
          <w:p>
            <w:pPr>
              <w:jc w:val="left"/>
            </w:pPr>
            <w:r/>
            <w:r>
              <w:rPr>
                <w:sz w:val="17"/>
              </w:rPr>
              <w:t>Sample – Superstore</w:t>
            </w:r>
          </w:p>
        </w:tc>
      </w:tr>
      <w:tr>
        <w:tc>
          <w:tcPr>
            <w:tcW w:type="dxa" w:w="4680"/>
            <w:shd w:val="clear" w:color="auto" w:fill="FFFFFF"/>
          </w:tcPr>
          <w:p>
            <w:pPr>
              <w:jc w:val="left"/>
            </w:pPr>
            <w:r/>
            <w:r>
              <w:rPr>
                <w:sz w:val="17"/>
              </w:rPr>
              <w:t>File Format</w:t>
            </w:r>
          </w:p>
        </w:tc>
        <w:tc>
          <w:tcPr>
            <w:tcW w:type="dxa" w:w="4680"/>
            <w:shd w:val="clear" w:color="auto" w:fill="FFFFFF"/>
          </w:tcPr>
          <w:p>
            <w:pPr>
              <w:jc w:val="left"/>
            </w:pPr>
            <w:r/>
            <w:r>
              <w:rPr>
                <w:sz w:val="17"/>
              </w:rPr>
              <w:t>Tableau Workbook (.twb / .xml)</w:t>
            </w:r>
          </w:p>
        </w:tc>
      </w:tr>
      <w:tr>
        <w:tc>
          <w:tcPr>
            <w:tcW w:type="dxa" w:w="4680"/>
            <w:shd w:val="clear" w:color="auto" w:fill="F2F2F2"/>
          </w:tcPr>
          <w:p>
            <w:pPr>
              <w:jc w:val="left"/>
            </w:pPr>
            <w:r/>
            <w:r>
              <w:rPr>
                <w:sz w:val="17"/>
              </w:rPr>
              <w:t>Tableau Version</w:t>
            </w:r>
          </w:p>
        </w:tc>
        <w:tc>
          <w:tcPr>
            <w:tcW w:type="dxa" w:w="4680"/>
            <w:shd w:val="clear" w:color="auto" w:fill="F2F2F2"/>
          </w:tcPr>
          <w:p>
            <w:pPr>
              <w:jc w:val="left"/>
            </w:pPr>
            <w:r/>
            <w:r>
              <w:rPr>
                <w:sz w:val="17"/>
              </w:rPr>
              <w:t>18.1 (build 2022.1122)</w:t>
            </w:r>
          </w:p>
        </w:tc>
      </w:tr>
      <w:tr>
        <w:tc>
          <w:tcPr>
            <w:tcW w:type="dxa" w:w="4680"/>
            <w:shd w:val="clear" w:color="auto" w:fill="FFFFFF"/>
          </w:tcPr>
          <w:p>
            <w:pPr>
              <w:jc w:val="left"/>
            </w:pPr>
            <w:r/>
            <w:r>
              <w:rPr>
                <w:sz w:val="17"/>
              </w:rPr>
              <w:t>Source Platform</w:t>
            </w:r>
          </w:p>
        </w:tc>
        <w:tc>
          <w:tcPr>
            <w:tcW w:type="dxa" w:w="4680"/>
            <w:shd w:val="clear" w:color="auto" w:fill="FFFFFF"/>
          </w:tcPr>
          <w:p>
            <w:pPr>
              <w:jc w:val="left"/>
            </w:pPr>
            <w:r/>
            <w:r>
              <w:rPr>
                <w:sz w:val="17"/>
              </w:rPr>
              <w:t>Windows</w:t>
            </w:r>
          </w:p>
        </w:tc>
      </w:tr>
      <w:tr>
        <w:tc>
          <w:tcPr>
            <w:tcW w:type="dxa" w:w="4680"/>
            <w:shd w:val="clear" w:color="auto" w:fill="F2F2F2"/>
          </w:tcPr>
          <w:p>
            <w:pPr>
              <w:jc w:val="left"/>
            </w:pPr>
            <w:r/>
            <w:r>
              <w:rPr>
                <w:sz w:val="17"/>
              </w:rPr>
              <w:t>Data Sources</w:t>
            </w:r>
          </w:p>
        </w:tc>
        <w:tc>
          <w:tcPr>
            <w:tcW w:type="dxa" w:w="4680"/>
            <w:shd w:val="clear" w:color="auto" w:fill="F2F2F2"/>
          </w:tcPr>
          <w:p>
            <w:pPr>
              <w:jc w:val="left"/>
            </w:pPr>
            <w:r/>
            <w:r>
              <w:rPr>
                <w:sz w:val="17"/>
              </w:rPr>
              <w:t>Sample – Superstore (Excel: Orders, People, Returns); Sales Target (Excel); Sales Commission (CSV); Parameters (built-in)</w:t>
            </w:r>
          </w:p>
        </w:tc>
      </w:tr>
      <w:tr>
        <w:tc>
          <w:tcPr>
            <w:tcW w:type="dxa" w:w="4680"/>
            <w:shd w:val="clear" w:color="auto" w:fill="FFFFFF"/>
          </w:tcPr>
          <w:p>
            <w:pPr>
              <w:jc w:val="left"/>
            </w:pPr>
            <w:r/>
            <w:r>
              <w:rPr>
                <w:sz w:val="17"/>
              </w:rPr>
              <w:t>Total Worksheets</w:t>
            </w:r>
          </w:p>
        </w:tc>
        <w:tc>
          <w:tcPr>
            <w:tcW w:type="dxa" w:w="4680"/>
            <w:shd w:val="clear" w:color="auto" w:fill="FFFFFF"/>
          </w:tcPr>
          <w:p>
            <w:pPr>
              <w:jc w:val="left"/>
            </w:pPr>
            <w:r/>
            <w:r>
              <w:rPr>
                <w:sz w:val="17"/>
              </w:rPr>
              <w:t>21</w:t>
            </w:r>
          </w:p>
        </w:tc>
      </w:tr>
      <w:tr>
        <w:tc>
          <w:tcPr>
            <w:tcW w:type="dxa" w:w="4680"/>
            <w:shd w:val="clear" w:color="auto" w:fill="F2F2F2"/>
          </w:tcPr>
          <w:p>
            <w:pPr>
              <w:jc w:val="left"/>
            </w:pPr>
            <w:r/>
            <w:r>
              <w:rPr>
                <w:sz w:val="17"/>
              </w:rPr>
              <w:t>Total Dashboards</w:t>
            </w:r>
          </w:p>
        </w:tc>
        <w:tc>
          <w:tcPr>
            <w:tcW w:type="dxa" w:w="4680"/>
            <w:shd w:val="clear" w:color="auto" w:fill="F2F2F2"/>
          </w:tcPr>
          <w:p>
            <w:pPr>
              <w:jc w:val="left"/>
            </w:pPr>
            <w:r/>
            <w:r>
              <w:rPr>
                <w:sz w:val="17"/>
              </w:rPr>
              <w:t>5</w:t>
            </w:r>
          </w:p>
        </w:tc>
      </w:tr>
      <w:tr>
        <w:tc>
          <w:tcPr>
            <w:tcW w:type="dxa" w:w="4680"/>
            <w:shd w:val="clear" w:color="auto" w:fill="FFFFFF"/>
          </w:tcPr>
          <w:p>
            <w:pPr>
              <w:jc w:val="left"/>
            </w:pPr>
            <w:r/>
            <w:r>
              <w:rPr>
                <w:sz w:val="17"/>
              </w:rPr>
              <w:t>Parameters</w:t>
            </w:r>
          </w:p>
        </w:tc>
        <w:tc>
          <w:tcPr>
            <w:tcW w:type="dxa" w:w="4680"/>
            <w:shd w:val="clear" w:color="auto" w:fill="FFFFFF"/>
          </w:tcPr>
          <w:p>
            <w:pPr>
              <w:jc w:val="left"/>
            </w:pPr>
            <w:r/>
            <w:r>
              <w:rPr>
                <w:sz w:val="17"/>
              </w:rPr>
              <w:t>6</w:t>
            </w:r>
          </w:p>
        </w:tc>
      </w:tr>
      <w:tr>
        <w:tc>
          <w:tcPr>
            <w:tcW w:type="dxa" w:w="4680"/>
            <w:shd w:val="clear" w:color="auto" w:fill="F2F2F2"/>
          </w:tcPr>
          <w:p>
            <w:pPr>
              <w:jc w:val="left"/>
            </w:pPr>
            <w:r/>
            <w:r>
              <w:rPr>
                <w:sz w:val="17"/>
              </w:rPr>
              <w:t>Date Range Covered</w:t>
            </w:r>
          </w:p>
        </w:tc>
        <w:tc>
          <w:tcPr>
            <w:tcW w:type="dxa" w:w="4680"/>
            <w:shd w:val="clear" w:color="auto" w:fill="F2F2F2"/>
          </w:tcPr>
          <w:p>
            <w:pPr>
              <w:jc w:val="left"/>
            </w:pPr>
            <w:r/>
            <w:r>
              <w:rPr>
                <w:sz w:val="17"/>
              </w:rPr>
              <w:t>January 2022 – December 2025</w:t>
            </w:r>
          </w:p>
        </w:tc>
      </w:tr>
      <w:tr>
        <w:tc>
          <w:tcPr>
            <w:tcW w:type="dxa" w:w="4680"/>
            <w:shd w:val="clear" w:color="auto" w:fill="FFFFFF"/>
          </w:tcPr>
          <w:p>
            <w:pPr>
              <w:jc w:val="left"/>
            </w:pPr>
            <w:r/>
            <w:r>
              <w:rPr>
                <w:sz w:val="17"/>
              </w:rPr>
              <w:t>Documentation Date</w:t>
            </w:r>
          </w:p>
        </w:tc>
        <w:tc>
          <w:tcPr>
            <w:tcW w:type="dxa" w:w="4680"/>
            <w:shd w:val="clear" w:color="auto" w:fill="FFFFFF"/>
          </w:tcPr>
          <w:p>
            <w:pPr>
              <w:jc w:val="left"/>
            </w:pPr>
            <w:r/>
            <w:r>
              <w:rPr>
                <w:sz w:val="17"/>
              </w:rPr>
              <w:t>April 16, 2026</w:t>
            </w:r>
          </w:p>
        </w:tc>
      </w:tr>
    </w:tbl>
    <w:p/>
    <w:p>
      <w:pPr>
        <w:pStyle w:val="Heading1"/>
      </w:pPr>
      <w:r>
        <w:t>4. Global Parameters &amp; Filters</w:t>
      </w:r>
    </w:p>
    <w:p>
      <w:pPr/>
      <w:r>
        <w:rPr>
          <w:sz w:val="20"/>
        </w:rPr>
        <w:t>The following six parameters are defined in the built-in Parameters data source and are available across all relevant dashboards. They allow users to dynamically adjust model assumptions without modifying underlying data.</w:t>
      </w:r>
    </w:p>
    <w:p/>
    <w:tbl>
      <w:tblPr>
        <w:tblStyle w:val="TableGrid"/>
        <w:tblW w:type="auto" w:w="0"/>
        <w:jc w:val="left"/>
        <w:tblLook w:firstColumn="1" w:firstRow="1" w:lastColumn="0" w:lastRow="0" w:noHBand="0" w:noVBand="1" w:val="04A0"/>
      </w:tblPr>
      <w:tblGrid>
        <w:gridCol w:w="1560"/>
        <w:gridCol w:w="1560"/>
        <w:gridCol w:w="1560"/>
        <w:gridCol w:w="1560"/>
        <w:gridCol w:w="1560"/>
        <w:gridCol w:w="1560"/>
      </w:tblGrid>
      <w:tr>
        <w:tc>
          <w:tcPr>
            <w:tcW w:type="dxa" w:w="1560"/>
            <w:shd w:val="clear" w:color="auto" w:fill="1F4995"/>
          </w:tcPr>
          <w:p>
            <w:pPr>
              <w:jc w:val="center"/>
            </w:pPr>
            <w:r/>
            <w:r>
              <w:rPr>
                <w:b/>
                <w:color w:val="FFFFFF"/>
                <w:sz w:val="18"/>
              </w:rPr>
              <w:t>Name</w:t>
            </w:r>
          </w:p>
        </w:tc>
        <w:tc>
          <w:tcPr>
            <w:tcW w:type="dxa" w:w="1560"/>
            <w:shd w:val="clear" w:color="auto" w:fill="1F4995"/>
          </w:tcPr>
          <w:p>
            <w:pPr>
              <w:jc w:val="center"/>
            </w:pPr>
            <w:r/>
            <w:r>
              <w:rPr>
                <w:b/>
                <w:color w:val="FFFFFF"/>
                <w:sz w:val="18"/>
              </w:rPr>
              <w:t>Type</w:t>
            </w:r>
          </w:p>
        </w:tc>
        <w:tc>
          <w:tcPr>
            <w:tcW w:type="dxa" w:w="1560"/>
            <w:shd w:val="clear" w:color="auto" w:fill="1F4995"/>
          </w:tcPr>
          <w:p>
            <w:pPr>
              <w:jc w:val="center"/>
            </w:pPr>
            <w:r/>
            <w:r>
              <w:rPr>
                <w:b/>
                <w:color w:val="FFFFFF"/>
                <w:sz w:val="18"/>
              </w:rPr>
              <w:t>Applies To</w:t>
            </w:r>
          </w:p>
        </w:tc>
        <w:tc>
          <w:tcPr>
            <w:tcW w:type="dxa" w:w="1560"/>
            <w:shd w:val="clear" w:color="auto" w:fill="1F4995"/>
          </w:tcPr>
          <w:p>
            <w:pPr>
              <w:jc w:val="center"/>
            </w:pPr>
            <w:r/>
            <w:r>
              <w:rPr>
                <w:b/>
                <w:color w:val="FFFFFF"/>
                <w:sz w:val="18"/>
              </w:rPr>
              <w:t>Default Value</w:t>
            </w:r>
          </w:p>
        </w:tc>
        <w:tc>
          <w:tcPr>
            <w:tcW w:type="dxa" w:w="1560"/>
            <w:shd w:val="clear" w:color="auto" w:fill="1F4995"/>
          </w:tcPr>
          <w:p>
            <w:pPr>
              <w:jc w:val="center"/>
            </w:pPr>
            <w:r/>
            <w:r>
              <w:rPr>
                <w:b/>
                <w:color w:val="FFFFFF"/>
                <w:sz w:val="18"/>
              </w:rPr>
              <w:t>Range / Options</w:t>
            </w:r>
          </w:p>
        </w:tc>
        <w:tc>
          <w:tcPr>
            <w:tcW w:type="dxa" w:w="1560"/>
            <w:shd w:val="clear" w:color="auto" w:fill="1F4995"/>
          </w:tcPr>
          <w:p>
            <w:pPr>
              <w:jc w:val="center"/>
            </w:pPr>
            <w:r/>
            <w:r>
              <w:rPr>
                <w:b/>
                <w:color w:val="FFFFFF"/>
                <w:sz w:val="18"/>
              </w:rPr>
              <w:t>Description</w:t>
            </w:r>
          </w:p>
        </w:tc>
      </w:tr>
      <w:tr>
        <w:tc>
          <w:tcPr>
            <w:tcW w:type="dxa" w:w="1560"/>
            <w:shd w:val="clear" w:color="auto" w:fill="F2F2F2"/>
          </w:tcPr>
          <w:p>
            <w:pPr>
              <w:jc w:val="left"/>
            </w:pPr>
            <w:r/>
            <w:r>
              <w:rPr>
                <w:sz w:val="17"/>
              </w:rPr>
              <w:t>Base Salary</w:t>
            </w:r>
          </w:p>
        </w:tc>
        <w:tc>
          <w:tcPr>
            <w:tcW w:type="dxa" w:w="1560"/>
            <w:shd w:val="clear" w:color="auto" w:fill="F2F2F2"/>
          </w:tcPr>
          <w:p>
            <w:pPr>
              <w:jc w:val="left"/>
            </w:pPr>
            <w:r/>
            <w:r>
              <w:rPr>
                <w:sz w:val="17"/>
              </w:rPr>
              <w:t>Integer ($)</w:t>
            </w:r>
          </w:p>
        </w:tc>
        <w:tc>
          <w:tcPr>
            <w:tcW w:type="dxa" w:w="1560"/>
            <w:shd w:val="clear" w:color="auto" w:fill="F2F2F2"/>
          </w:tcPr>
          <w:p>
            <w:pPr>
              <w:jc w:val="left"/>
            </w:pPr>
            <w:r/>
            <w:r>
              <w:rPr>
                <w:sz w:val="17"/>
              </w:rPr>
              <w:t>Commission Model</w:t>
            </w:r>
          </w:p>
        </w:tc>
        <w:tc>
          <w:tcPr>
            <w:tcW w:type="dxa" w:w="1560"/>
            <w:shd w:val="clear" w:color="auto" w:fill="F2F2F2"/>
          </w:tcPr>
          <w:p>
            <w:pPr>
              <w:jc w:val="left"/>
            </w:pPr>
            <w:r/>
            <w:r>
              <w:rPr>
                <w:sz w:val="17"/>
              </w:rPr>
              <w:t>$50,000</w:t>
            </w:r>
          </w:p>
        </w:tc>
        <w:tc>
          <w:tcPr>
            <w:tcW w:type="dxa" w:w="1560"/>
            <w:shd w:val="clear" w:color="auto" w:fill="F2F2F2"/>
          </w:tcPr>
          <w:p>
            <w:pPr>
              <w:jc w:val="left"/>
            </w:pPr>
            <w:r/>
            <w:r>
              <w:rPr>
                <w:sz w:val="17"/>
              </w:rPr>
              <w:t>Min $0, step $1,000</w:t>
            </w:r>
          </w:p>
        </w:tc>
        <w:tc>
          <w:tcPr>
            <w:tcW w:type="dxa" w:w="1560"/>
            <w:shd w:val="clear" w:color="auto" w:fill="F2F2F2"/>
          </w:tcPr>
          <w:p>
            <w:pPr>
              <w:jc w:val="left"/>
            </w:pPr>
            <w:r/>
            <w:r>
              <w:rPr>
                <w:sz w:val="17"/>
              </w:rPr>
              <w:t>Sets the fixed annual base salary for all sales reps used in compensation calculations.</w:t>
            </w:r>
          </w:p>
        </w:tc>
      </w:tr>
      <w:tr>
        <w:tc>
          <w:tcPr>
            <w:tcW w:type="dxa" w:w="1560"/>
            <w:shd w:val="clear" w:color="auto" w:fill="FFFFFF"/>
          </w:tcPr>
          <w:p>
            <w:pPr>
              <w:jc w:val="left"/>
            </w:pPr>
            <w:r/>
            <w:r>
              <w:rPr>
                <w:sz w:val="17"/>
              </w:rPr>
              <w:t>Commission Rate</w:t>
            </w:r>
          </w:p>
        </w:tc>
        <w:tc>
          <w:tcPr>
            <w:tcW w:type="dxa" w:w="1560"/>
            <w:shd w:val="clear" w:color="auto" w:fill="FFFFFF"/>
          </w:tcPr>
          <w:p>
            <w:pPr>
              <w:jc w:val="left"/>
            </w:pPr>
            <w:r/>
            <w:r>
              <w:rPr>
                <w:sz w:val="17"/>
              </w:rPr>
              <w:t>Decimal (%)</w:t>
            </w:r>
          </w:p>
        </w:tc>
        <w:tc>
          <w:tcPr>
            <w:tcW w:type="dxa" w:w="1560"/>
            <w:shd w:val="clear" w:color="auto" w:fill="FFFFFF"/>
          </w:tcPr>
          <w:p>
            <w:pPr>
              <w:jc w:val="left"/>
            </w:pPr>
            <w:r/>
            <w:r>
              <w:rPr>
                <w:sz w:val="17"/>
              </w:rPr>
              <w:t>Commission Model</w:t>
            </w:r>
          </w:p>
        </w:tc>
        <w:tc>
          <w:tcPr>
            <w:tcW w:type="dxa" w:w="1560"/>
            <w:shd w:val="clear" w:color="auto" w:fill="FFFFFF"/>
          </w:tcPr>
          <w:p>
            <w:pPr>
              <w:jc w:val="left"/>
            </w:pPr>
            <w:r/>
            <w:r>
              <w:rPr>
                <w:sz w:val="17"/>
              </w:rPr>
              <w:t>18.4%</w:t>
            </w:r>
          </w:p>
        </w:tc>
        <w:tc>
          <w:tcPr>
            <w:tcW w:type="dxa" w:w="1560"/>
            <w:shd w:val="clear" w:color="auto" w:fill="FFFFFF"/>
          </w:tcPr>
          <w:p>
            <w:pPr>
              <w:jc w:val="left"/>
            </w:pPr>
            <w:r/>
            <w:r>
              <w:rPr>
                <w:sz w:val="17"/>
              </w:rPr>
              <w:t>1%–100%, step 0.1%</w:t>
            </w:r>
          </w:p>
        </w:tc>
        <w:tc>
          <w:tcPr>
            <w:tcW w:type="dxa" w:w="1560"/>
            <w:shd w:val="clear" w:color="auto" w:fill="FFFFFF"/>
          </w:tcPr>
          <w:p>
            <w:pPr>
              <w:jc w:val="left"/>
            </w:pPr>
            <w:r/>
            <w:r>
              <w:rPr>
                <w:sz w:val="17"/>
              </w:rPr>
              <w:t>The percentage of sales revenue paid as variable commission to each sales rep.</w:t>
            </w:r>
          </w:p>
        </w:tc>
      </w:tr>
      <w:tr>
        <w:tc>
          <w:tcPr>
            <w:tcW w:type="dxa" w:w="1560"/>
            <w:shd w:val="clear" w:color="auto" w:fill="F2F2F2"/>
          </w:tcPr>
          <w:p>
            <w:pPr>
              <w:jc w:val="left"/>
            </w:pPr>
            <w:r/>
            <w:r>
              <w:rPr>
                <w:sz w:val="17"/>
              </w:rPr>
              <w:t>New Quota</w:t>
            </w:r>
          </w:p>
        </w:tc>
        <w:tc>
          <w:tcPr>
            <w:tcW w:type="dxa" w:w="1560"/>
            <w:shd w:val="clear" w:color="auto" w:fill="F2F2F2"/>
          </w:tcPr>
          <w:p>
            <w:pPr>
              <w:jc w:val="left"/>
            </w:pPr>
            <w:r/>
            <w:r>
              <w:rPr>
                <w:sz w:val="17"/>
              </w:rPr>
              <w:t>Integer ($)</w:t>
            </w:r>
          </w:p>
        </w:tc>
        <w:tc>
          <w:tcPr>
            <w:tcW w:type="dxa" w:w="1560"/>
            <w:shd w:val="clear" w:color="auto" w:fill="F2F2F2"/>
          </w:tcPr>
          <w:p>
            <w:pPr>
              <w:jc w:val="left"/>
            </w:pPr>
            <w:r/>
            <w:r>
              <w:rPr>
                <w:sz w:val="17"/>
              </w:rPr>
              <w:t>Commission Model</w:t>
            </w:r>
          </w:p>
        </w:tc>
        <w:tc>
          <w:tcPr>
            <w:tcW w:type="dxa" w:w="1560"/>
            <w:shd w:val="clear" w:color="auto" w:fill="F2F2F2"/>
          </w:tcPr>
          <w:p>
            <w:pPr>
              <w:jc w:val="left"/>
            </w:pPr>
            <w:r/>
            <w:r>
              <w:rPr>
                <w:sz w:val="17"/>
              </w:rPr>
              <w:t>$500,000</w:t>
            </w:r>
          </w:p>
        </w:tc>
        <w:tc>
          <w:tcPr>
            <w:tcW w:type="dxa" w:w="1560"/>
            <w:shd w:val="clear" w:color="auto" w:fill="F2F2F2"/>
          </w:tcPr>
          <w:p>
            <w:pPr>
              <w:jc w:val="left"/>
            </w:pPr>
            <w:r/>
            <w:r>
              <w:rPr>
                <w:sz w:val="17"/>
              </w:rPr>
              <w:t>Min $100,000, step $25,000</w:t>
            </w:r>
          </w:p>
        </w:tc>
        <w:tc>
          <w:tcPr>
            <w:tcW w:type="dxa" w:w="1560"/>
            <w:shd w:val="clear" w:color="auto" w:fill="F2F2F2"/>
          </w:tcPr>
          <w:p>
            <w:pPr>
              <w:jc w:val="left"/>
            </w:pPr>
            <w:r/>
            <w:r>
              <w:rPr>
                <w:sz w:val="17"/>
              </w:rPr>
              <w:t>The annual sales quota assigned to each rep; used to determine quota attainment buckets and OTE.</w:t>
            </w:r>
          </w:p>
        </w:tc>
      </w:tr>
      <w:tr>
        <w:tc>
          <w:tcPr>
            <w:tcW w:type="dxa" w:w="1560"/>
            <w:shd w:val="clear" w:color="auto" w:fill="FFFFFF"/>
          </w:tcPr>
          <w:p>
            <w:pPr>
              <w:jc w:val="left"/>
            </w:pPr>
            <w:r/>
            <w:r>
              <w:rPr>
                <w:sz w:val="17"/>
              </w:rPr>
              <w:t>Sort by</w:t>
            </w:r>
          </w:p>
        </w:tc>
        <w:tc>
          <w:tcPr>
            <w:tcW w:type="dxa" w:w="1560"/>
            <w:shd w:val="clear" w:color="auto" w:fill="FFFFFF"/>
          </w:tcPr>
          <w:p>
            <w:pPr>
              <w:jc w:val="left"/>
            </w:pPr>
            <w:r/>
            <w:r>
              <w:rPr>
                <w:sz w:val="17"/>
              </w:rPr>
              <w:t>String</w:t>
            </w:r>
          </w:p>
        </w:tc>
        <w:tc>
          <w:tcPr>
            <w:tcW w:type="dxa" w:w="1560"/>
            <w:shd w:val="clear" w:color="auto" w:fill="FFFFFF"/>
          </w:tcPr>
          <w:p>
            <w:pPr>
              <w:jc w:val="left"/>
            </w:pPr>
            <w:r/>
            <w:r>
              <w:rPr>
                <w:sz w:val="17"/>
              </w:rPr>
              <w:t>Commission Model</w:t>
            </w:r>
          </w:p>
        </w:tc>
        <w:tc>
          <w:tcPr>
            <w:tcW w:type="dxa" w:w="1560"/>
            <w:shd w:val="clear" w:color="auto" w:fill="FFFFFF"/>
          </w:tcPr>
          <w:p>
            <w:pPr>
              <w:jc w:val="left"/>
            </w:pPr>
            <w:r/>
            <w:r>
              <w:rPr>
                <w:sz w:val="17"/>
              </w:rPr>
              <w:t>Names</w:t>
            </w:r>
          </w:p>
        </w:tc>
        <w:tc>
          <w:tcPr>
            <w:tcW w:type="dxa" w:w="1560"/>
            <w:shd w:val="clear" w:color="auto" w:fill="FFFFFF"/>
          </w:tcPr>
          <w:p>
            <w:pPr>
              <w:jc w:val="left"/>
            </w:pPr>
            <w:r/>
            <w:r>
              <w:rPr>
                <w:sz w:val="17"/>
              </w:rPr>
              <w:t>Names / % quota ascending / % quota descending</w:t>
            </w:r>
          </w:p>
        </w:tc>
        <w:tc>
          <w:tcPr>
            <w:tcW w:type="dxa" w:w="1560"/>
            <w:shd w:val="clear" w:color="auto" w:fill="FFFFFF"/>
          </w:tcPr>
          <w:p>
            <w:pPr>
              <w:jc w:val="left"/>
            </w:pPr>
            <w:r/>
            <w:r>
              <w:rPr>
                <w:sz w:val="17"/>
              </w:rPr>
              <w:t>Controls the sort order of sales reps on CommissionProjection and QuotaAttainment charts.</w:t>
            </w:r>
          </w:p>
        </w:tc>
      </w:tr>
      <w:tr>
        <w:tc>
          <w:tcPr>
            <w:tcW w:type="dxa" w:w="1560"/>
            <w:shd w:val="clear" w:color="auto" w:fill="F2F2F2"/>
          </w:tcPr>
          <w:p>
            <w:pPr>
              <w:jc w:val="left"/>
            </w:pPr>
            <w:r/>
            <w:r>
              <w:rPr>
                <w:sz w:val="17"/>
              </w:rPr>
              <w:t>New Business Growth</w:t>
            </w:r>
          </w:p>
        </w:tc>
        <w:tc>
          <w:tcPr>
            <w:tcW w:type="dxa" w:w="1560"/>
            <w:shd w:val="clear" w:color="auto" w:fill="F2F2F2"/>
          </w:tcPr>
          <w:p>
            <w:pPr>
              <w:jc w:val="left"/>
            </w:pPr>
            <w:r/>
            <w:r>
              <w:rPr>
                <w:sz w:val="17"/>
              </w:rPr>
              <w:t>Decimal (%)</w:t>
            </w:r>
          </w:p>
        </w:tc>
        <w:tc>
          <w:tcPr>
            <w:tcW w:type="dxa" w:w="1560"/>
            <w:shd w:val="clear" w:color="auto" w:fill="F2F2F2"/>
          </w:tcPr>
          <w:p>
            <w:pPr>
              <w:jc w:val="left"/>
            </w:pPr>
            <w:r/>
            <w:r>
              <w:rPr>
                <w:sz w:val="17"/>
              </w:rPr>
              <w:t>Product (Forecast)</w:t>
            </w:r>
          </w:p>
        </w:tc>
        <w:tc>
          <w:tcPr>
            <w:tcW w:type="dxa" w:w="1560"/>
            <w:shd w:val="clear" w:color="auto" w:fill="F2F2F2"/>
          </w:tcPr>
          <w:p>
            <w:pPr>
              <w:jc w:val="left"/>
            </w:pPr>
            <w:r/>
            <w:r>
              <w:rPr>
                <w:sz w:val="17"/>
              </w:rPr>
              <w:t>60%</w:t>
            </w:r>
          </w:p>
        </w:tc>
        <w:tc>
          <w:tcPr>
            <w:tcW w:type="dxa" w:w="1560"/>
            <w:shd w:val="clear" w:color="auto" w:fill="F2F2F2"/>
          </w:tcPr>
          <w:p>
            <w:pPr>
              <w:jc w:val="left"/>
            </w:pPr>
            <w:r/>
            <w:r>
              <w:rPr>
                <w:sz w:val="17"/>
              </w:rPr>
              <w:t>0%–100%, step 1%</w:t>
            </w:r>
          </w:p>
        </w:tc>
        <w:tc>
          <w:tcPr>
            <w:tcW w:type="dxa" w:w="1560"/>
            <w:shd w:val="clear" w:color="auto" w:fill="F2F2F2"/>
          </w:tcPr>
          <w:p>
            <w:pPr>
              <w:jc w:val="left"/>
            </w:pPr>
            <w:r/>
            <w:r>
              <w:rPr>
                <w:sz w:val="17"/>
              </w:rPr>
              <w:t>Assumed rate of new business growth applied in the What If Forecast sales projection and units estimate.</w:t>
            </w:r>
          </w:p>
        </w:tc>
      </w:tr>
      <w:tr>
        <w:tc>
          <w:tcPr>
            <w:tcW w:type="dxa" w:w="1560"/>
            <w:shd w:val="clear" w:color="auto" w:fill="FFFFFF"/>
          </w:tcPr>
          <w:p>
            <w:pPr>
              <w:jc w:val="left"/>
            </w:pPr>
            <w:r/>
            <w:r>
              <w:rPr>
                <w:sz w:val="17"/>
              </w:rPr>
              <w:t>Churn Rate</w:t>
            </w:r>
          </w:p>
        </w:tc>
        <w:tc>
          <w:tcPr>
            <w:tcW w:type="dxa" w:w="1560"/>
            <w:shd w:val="clear" w:color="auto" w:fill="FFFFFF"/>
          </w:tcPr>
          <w:p>
            <w:pPr>
              <w:jc w:val="left"/>
            </w:pPr>
            <w:r/>
            <w:r>
              <w:rPr>
                <w:sz w:val="17"/>
              </w:rPr>
              <w:t>Decimal (%)</w:t>
            </w:r>
          </w:p>
        </w:tc>
        <w:tc>
          <w:tcPr>
            <w:tcW w:type="dxa" w:w="1560"/>
            <w:shd w:val="clear" w:color="auto" w:fill="FFFFFF"/>
          </w:tcPr>
          <w:p>
            <w:pPr>
              <w:jc w:val="left"/>
            </w:pPr>
            <w:r/>
            <w:r>
              <w:rPr>
                <w:sz w:val="17"/>
              </w:rPr>
              <w:t>Product (Forecast)</w:t>
            </w:r>
          </w:p>
        </w:tc>
        <w:tc>
          <w:tcPr>
            <w:tcW w:type="dxa" w:w="1560"/>
            <w:shd w:val="clear" w:color="auto" w:fill="FFFFFF"/>
          </w:tcPr>
          <w:p>
            <w:pPr>
              <w:jc w:val="left"/>
            </w:pPr>
            <w:r/>
            <w:r>
              <w:rPr>
                <w:sz w:val="17"/>
              </w:rPr>
              <w:t>6.4%</w:t>
            </w:r>
          </w:p>
        </w:tc>
        <w:tc>
          <w:tcPr>
            <w:tcW w:type="dxa" w:w="1560"/>
            <w:shd w:val="clear" w:color="auto" w:fill="FFFFFF"/>
          </w:tcPr>
          <w:p>
            <w:pPr>
              <w:jc w:val="left"/>
            </w:pPr>
            <w:r/>
            <w:r>
              <w:rPr>
                <w:sz w:val="17"/>
              </w:rPr>
              <w:t>0%–25%, step 0.1%</w:t>
            </w:r>
          </w:p>
        </w:tc>
        <w:tc>
          <w:tcPr>
            <w:tcW w:type="dxa" w:w="1560"/>
            <w:shd w:val="clear" w:color="auto" w:fill="FFFFFF"/>
          </w:tcPr>
          <w:p>
            <w:pPr>
              <w:jc w:val="left"/>
            </w:pPr>
            <w:r/>
            <w:r>
              <w:rPr>
                <w:sz w:val="17"/>
              </w:rPr>
              <w:t>Assumed customer churn rate applied in the What If Forecast sales projection and units estimate.</w:t>
            </w:r>
          </w:p>
        </w:tc>
      </w:tr>
    </w:tbl>
    <w:p/>
    <w:p>
      <w:pPr/>
      <w:r>
        <w:rPr>
          <w:b/>
          <w:sz w:val="18"/>
        </w:rPr>
        <w:t xml:space="preserve">Note: </w:t>
      </w:r>
      <w:r>
        <w:rPr>
          <w:i/>
          <w:sz w:val="18"/>
        </w:rPr>
        <w:t>filter-group 8 (Order Date range: Jan 3, 2022 – Dec 30, 2025) is a global date filter shared across the Overview, Product, and Customers dashboards. filter-group 9 (Year of Order Date) is shared across the Customers and Product dashboards.</w:t>
      </w:r>
    </w:p>
    <w:p>
      <w:r>
        <w:br w:type="page"/>
      </w:r>
    </w:p>
    <w:p>
      <w:pPr>
        <w:pStyle w:val="Heading1"/>
      </w:pPr>
      <w:r>
        <w:t>5. Dashboards</w:t>
      </w:r>
    </w:p>
    <w:p>
      <w:pPr/>
      <w:r>
        <w:rPr>
          <w:sz w:val="20"/>
        </w:rPr>
        <w:t>This section documents each of the five dashboards in the workbook. For each dashboard, the user-facing filters and parameters are listed, followed by a detailed description of each visualization including its purpose, applied filters, fields used, and underlying calculation logic.</w:t>
      </w:r>
    </w:p>
    <w:p>
      <w:pPr>
        <w:pStyle w:val="Heading2"/>
      </w:pPr>
      <w:r>
        <w:t>5.1 Overview Dashboard</w:t>
      </w:r>
    </w:p>
    <w:p>
      <w:pPr/>
      <w:r>
        <w:rPr>
          <w:sz w:val="20"/>
        </w:rPr>
        <w:t>The Overview dashboard provides a high-level snapshot of company-wide sales performance. A geographic map allows users to filter all other views by state or province. Two trend charts show monthly sales broken down by product category and by customer segment. An action filter propagates state selections from the map to all other sheets on the dashboard, enabling geographic drill-through across all overview metrics.</w:t>
      </w:r>
    </w:p>
    <w:p/>
    <w:p>
      <w:pPr>
        <w:pStyle w:val="Heading3"/>
      </w:pPr>
      <w:r>
        <w:t>5.1.1 Parameters / Filters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F4995"/>
          </w:tcPr>
          <w:p>
            <w:pPr>
              <w:jc w:val="center"/>
            </w:pPr>
            <w:r/>
            <w:r>
              <w:rPr>
                <w:b/>
                <w:color w:val="FFFFFF"/>
                <w:sz w:val="18"/>
              </w:rPr>
              <w:t>Name</w:t>
            </w:r>
          </w:p>
        </w:tc>
        <w:tc>
          <w:tcPr>
            <w:tcW w:type="dxa" w:w="1872"/>
            <w:shd w:val="clear" w:color="auto" w:fill="1F4995"/>
          </w:tcPr>
          <w:p>
            <w:pPr>
              <w:jc w:val="center"/>
            </w:pPr>
            <w:r/>
            <w:r>
              <w:rPr>
                <w:b/>
                <w:color w:val="FFFFFF"/>
                <w:sz w:val="18"/>
              </w:rPr>
              <w:t>Type</w:t>
            </w:r>
          </w:p>
        </w:tc>
        <w:tc>
          <w:tcPr>
            <w:tcW w:type="dxa" w:w="1872"/>
            <w:shd w:val="clear" w:color="auto" w:fill="1F4995"/>
          </w:tcPr>
          <w:p>
            <w:pPr>
              <w:jc w:val="center"/>
            </w:pPr>
            <w:r/>
            <w:r>
              <w:rPr>
                <w:b/>
                <w:color w:val="FFFFFF"/>
                <w:sz w:val="18"/>
              </w:rPr>
              <w:t>Global/Local</w:t>
            </w:r>
          </w:p>
        </w:tc>
        <w:tc>
          <w:tcPr>
            <w:tcW w:type="dxa" w:w="1872"/>
            <w:shd w:val="clear" w:color="auto" w:fill="1F4995"/>
          </w:tcPr>
          <w:p>
            <w:pPr>
              <w:jc w:val="center"/>
            </w:pPr>
            <w:r/>
            <w:r>
              <w:rPr>
                <w:b/>
                <w:color w:val="FFFFFF"/>
                <w:sz w:val="18"/>
              </w:rPr>
              <w:t>Default</w:t>
            </w:r>
          </w:p>
        </w:tc>
        <w:tc>
          <w:tcPr>
            <w:tcW w:type="dxa" w:w="1872"/>
            <w:shd w:val="clear" w:color="auto" w:fill="1F4995"/>
          </w:tcPr>
          <w:p>
            <w:pPr>
              <w:jc w:val="center"/>
            </w:pPr>
            <w:r/>
            <w:r>
              <w:rPr>
                <w:b/>
                <w:color w:val="FFFFFF"/>
                <w:sz w:val="18"/>
              </w:rPr>
              <w:t>Notes</w:t>
            </w:r>
          </w:p>
        </w:tc>
      </w:tr>
      <w:tr>
        <w:tc>
          <w:tcPr>
            <w:tcW w:type="dxa" w:w="1872"/>
            <w:shd w:val="clear" w:color="auto" w:fill="F2F2F2"/>
          </w:tcPr>
          <w:p>
            <w:pPr>
              <w:jc w:val="left"/>
            </w:pPr>
            <w:r/>
            <w:r>
              <w:rPr>
                <w:sz w:val="17"/>
              </w:rPr>
              <w:t>Order Date Range</w:t>
            </w:r>
          </w:p>
        </w:tc>
        <w:tc>
          <w:tcPr>
            <w:tcW w:type="dxa" w:w="1872"/>
            <w:shd w:val="clear" w:color="auto" w:fill="F2F2F2"/>
          </w:tcPr>
          <w:p>
            <w:pPr>
              <w:jc w:val="left"/>
            </w:pPr>
            <w:r/>
            <w:r>
              <w:rPr>
                <w:sz w:val="17"/>
              </w:rPr>
              <w:t>Date Range Filter</w:t>
            </w:r>
          </w:p>
        </w:tc>
        <w:tc>
          <w:tcPr>
            <w:tcW w:type="dxa" w:w="1872"/>
            <w:shd w:val="clear" w:color="auto" w:fill="F2F2F2"/>
          </w:tcPr>
          <w:p>
            <w:pPr>
              <w:jc w:val="left"/>
            </w:pPr>
            <w:r/>
            <w:r>
              <w:rPr>
                <w:sz w:val="17"/>
              </w:rPr>
              <w:t>Global (filter-group 8)</w:t>
            </w:r>
          </w:p>
        </w:tc>
        <w:tc>
          <w:tcPr>
            <w:tcW w:type="dxa" w:w="1872"/>
            <w:shd w:val="clear" w:color="auto" w:fill="F2F2F2"/>
          </w:tcPr>
          <w:p>
            <w:pPr>
              <w:jc w:val="left"/>
            </w:pPr>
            <w:r/>
            <w:r>
              <w:rPr>
                <w:sz w:val="17"/>
              </w:rPr>
              <w:t>Jan 2022 – Dec 2025</w:t>
            </w:r>
          </w:p>
        </w:tc>
        <w:tc>
          <w:tcPr>
            <w:tcW w:type="dxa" w:w="1872"/>
            <w:shd w:val="clear" w:color="auto" w:fill="F2F2F2"/>
          </w:tcPr>
          <w:p>
            <w:pPr>
              <w:jc w:val="left"/>
            </w:pPr>
            <w:r/>
            <w:r>
              <w:rPr>
                <w:sz w:val="17"/>
              </w:rPr>
              <w:t>Shared with Product and Customers dashboards.</w:t>
            </w:r>
          </w:p>
        </w:tc>
      </w:tr>
      <w:tr>
        <w:tc>
          <w:tcPr>
            <w:tcW w:type="dxa" w:w="1872"/>
            <w:shd w:val="clear" w:color="auto" w:fill="FFFFFF"/>
          </w:tcPr>
          <w:p>
            <w:pPr>
              <w:jc w:val="left"/>
            </w:pPr>
            <w:r/>
            <w:r>
              <w:rPr>
                <w:sz w:val="17"/>
              </w:rPr>
              <w:t>Year</w:t>
            </w:r>
          </w:p>
        </w:tc>
        <w:tc>
          <w:tcPr>
            <w:tcW w:type="dxa" w:w="1872"/>
            <w:shd w:val="clear" w:color="auto" w:fill="FFFFFF"/>
          </w:tcPr>
          <w:p>
            <w:pPr>
              <w:jc w:val="left"/>
            </w:pPr>
            <w:r/>
            <w:r>
              <w:rPr>
                <w:sz w:val="17"/>
              </w:rPr>
              <w:t>Discrete Filter</w:t>
            </w:r>
          </w:p>
        </w:tc>
        <w:tc>
          <w:tcPr>
            <w:tcW w:type="dxa" w:w="1872"/>
            <w:shd w:val="clear" w:color="auto" w:fill="FFFFFF"/>
          </w:tcPr>
          <w:p>
            <w:pPr>
              <w:jc w:val="left"/>
            </w:pPr>
            <w:r/>
            <w:r>
              <w:rPr>
                <w:sz w:val="17"/>
              </w:rPr>
              <w:t>Local</w:t>
            </w:r>
          </w:p>
        </w:tc>
        <w:tc>
          <w:tcPr>
            <w:tcW w:type="dxa" w:w="1872"/>
            <w:shd w:val="clear" w:color="auto" w:fill="FFFFFF"/>
          </w:tcPr>
          <w:p>
            <w:pPr>
              <w:jc w:val="left"/>
            </w:pPr>
            <w:r/>
            <w:r>
              <w:rPr>
                <w:sz w:val="17"/>
              </w:rPr>
              <w:t>All Years</w:t>
            </w:r>
          </w:p>
        </w:tc>
        <w:tc>
          <w:tcPr>
            <w:tcW w:type="dxa" w:w="1872"/>
            <w:shd w:val="clear" w:color="auto" w:fill="FFFFFF"/>
          </w:tcPr>
          <w:p>
            <w:pPr>
              <w:jc w:val="left"/>
            </w:pPr>
            <w:r/>
            <w:r>
              <w:rPr>
                <w:sz w:val="17"/>
              </w:rPr>
              <w:t>Filters all sheets on this dashboard by order year.</w:t>
            </w:r>
          </w:p>
        </w:tc>
      </w:tr>
      <w:tr>
        <w:tc>
          <w:tcPr>
            <w:tcW w:type="dxa" w:w="1872"/>
            <w:shd w:val="clear" w:color="auto" w:fill="F2F2F2"/>
          </w:tcPr>
          <w:p>
            <w:pPr>
              <w:jc w:val="left"/>
            </w:pPr>
            <w:r/>
            <w:r>
              <w:rPr>
                <w:sz w:val="17"/>
              </w:rPr>
              <w:t>Region</w:t>
            </w:r>
          </w:p>
        </w:tc>
        <w:tc>
          <w:tcPr>
            <w:tcW w:type="dxa" w:w="1872"/>
            <w:shd w:val="clear" w:color="auto" w:fill="F2F2F2"/>
          </w:tcPr>
          <w:p>
            <w:pPr>
              <w:jc w:val="left"/>
            </w:pPr>
            <w:r/>
            <w:r>
              <w:rPr>
                <w:sz w:val="17"/>
              </w:rPr>
              <w:t>Discrete Filter</w:t>
            </w:r>
          </w:p>
        </w:tc>
        <w:tc>
          <w:tcPr>
            <w:tcW w:type="dxa" w:w="1872"/>
            <w:shd w:val="clear" w:color="auto" w:fill="F2F2F2"/>
          </w:tcPr>
          <w:p>
            <w:pPr>
              <w:jc w:val="left"/>
            </w:pPr>
            <w:r/>
            <w:r>
              <w:rPr>
                <w:sz w:val="17"/>
              </w:rPr>
              <w:t>Local</w:t>
            </w:r>
          </w:p>
        </w:tc>
        <w:tc>
          <w:tcPr>
            <w:tcW w:type="dxa" w:w="1872"/>
            <w:shd w:val="clear" w:color="auto" w:fill="F2F2F2"/>
          </w:tcPr>
          <w:p>
            <w:pPr>
              <w:jc w:val="left"/>
            </w:pPr>
            <w:r/>
            <w:r>
              <w:rPr>
                <w:sz w:val="17"/>
              </w:rPr>
              <w:t>All Regions</w:t>
            </w:r>
          </w:p>
        </w:tc>
        <w:tc>
          <w:tcPr>
            <w:tcW w:type="dxa" w:w="1872"/>
            <w:shd w:val="clear" w:color="auto" w:fill="F2F2F2"/>
          </w:tcPr>
          <w:p>
            <w:pPr>
              <w:jc w:val="left"/>
            </w:pPr>
            <w:r/>
            <w:r>
              <w:rPr>
                <w:sz w:val="17"/>
              </w:rPr>
              <w:t>Filters all sheets by sales region.</w:t>
            </w:r>
          </w:p>
        </w:tc>
      </w:tr>
    </w:tbl>
    <w:p/>
    <w:p>
      <w:pPr>
        <w:pStyle w:val="Heading3"/>
      </w:pPr>
      <w:r>
        <w:t>5.1.2 Visualizations</w:t>
      </w:r>
    </w:p>
    <w:p>
      <w:pPr/>
      <w:r>
        <w:rPr>
          <w:b/>
          <w:color w:val="1F4995"/>
          <w:sz w:val="21"/>
        </w:rPr>
        <w:t>Sale Map</w:t>
      </w:r>
    </w:p>
    <w:p>
      <w:pPr/>
      <w:r>
        <w:rPr>
          <w:b/>
          <w:sz w:val="20"/>
        </w:rPr>
        <w:t xml:space="preserve">Purpose: </w:t>
      </w:r>
      <w:r>
        <w:rPr>
          <w:sz w:val="20"/>
        </w:rPr>
        <w:t>A choropleth map of the United States showing total sales by state/province, color-encoded by sales volume. It serves as the primary interactive filter driver for the Overview dashboard — clicking a state filters all other views.</w:t>
      </w:r>
    </w:p>
    <w:p>
      <w:pPr/>
      <w:r>
        <w:rPr>
          <w:b/>
          <w:sz w:val="20"/>
        </w:rPr>
        <w:t xml:space="preserve">Filters Applied: </w:t>
      </w:r>
      <w:r>
        <w:rPr>
          <w:sz w:val="20"/>
        </w:rPr>
        <w:t>Order Date range (global), Region.</w:t>
      </w:r>
    </w:p>
    <w:p>
      <w:pPr/>
      <w:r>
        <w:rPr>
          <w:b/>
          <w:sz w:val="20"/>
        </w:rPr>
        <w:t xml:space="preserve">Fields Used: </w:t>
      </w:r>
      <w:r>
        <w:rPr>
          <w:sz w:val="20"/>
        </w:rPr>
        <w:t>State/Province (geographic detail), SUM(Sales) (color intensity and tooltip).</w:t>
      </w:r>
    </w:p>
    <w:p>
      <w:pPr/>
      <w:r>
        <w:rPr>
          <w:b/>
          <w:sz w:val="20"/>
        </w:rPr>
        <w:t xml:space="preserve">Calculation Logic: </w:t>
      </w:r>
      <w:r>
        <w:rPr>
          <w:sz w:val="20"/>
        </w:rPr>
        <w:t>Each state polygon is shaded proportionally to its aggregate total sales across the selected date range and region. Darker shades indicate higher total sales. When a user clicks one or more states, a dashboard action filter (State/Province Filter 1) passes the selected state value(s) to all other worksheets on the Overview dashboard. A separate highlight action (State/Province Highlight) enables cross-highlighting when other views are interacted with.</w:t>
      </w:r>
    </w:p>
    <w:p/>
    <w:p>
      <w:pPr/>
      <w:r>
        <w:rPr>
          <w:b/>
          <w:color w:val="1F4995"/>
          <w:sz w:val="21"/>
        </w:rPr>
        <w:t>Sales (Monthly Sales by Category)</w:t>
      </w:r>
    </w:p>
    <w:p>
      <w:pPr/>
      <w:r>
        <w:rPr>
          <w:b/>
          <w:sz w:val="20"/>
        </w:rPr>
        <w:t xml:space="preserve">Purpose: </w:t>
      </w:r>
      <w:r>
        <w:rPr>
          <w:sz w:val="20"/>
        </w:rPr>
        <w:t>A line or bar chart showing monthly sales trends broken down by the three product categories: Furniture, Office Supplies, and Technology. Enables identification of seasonal patterns and category-level performance over time.</w:t>
      </w:r>
    </w:p>
    <w:p>
      <w:pPr/>
      <w:r>
        <w:rPr>
          <w:b/>
          <w:sz w:val="20"/>
        </w:rPr>
        <w:t xml:space="preserve">Filters Applied: </w:t>
      </w:r>
      <w:r>
        <w:rPr>
          <w:sz w:val="20"/>
        </w:rPr>
        <w:t>Year, Order Date range (global).</w:t>
      </w:r>
    </w:p>
    <w:p>
      <w:pPr/>
      <w:r>
        <w:rPr>
          <w:b/>
          <w:sz w:val="20"/>
        </w:rPr>
        <w:t xml:space="preserve">Fields Used: </w:t>
      </w:r>
      <w:r>
        <w:rPr>
          <w:sz w:val="20"/>
        </w:rPr>
        <w:t>Month of Order Date (x-axis/columns), SUM(Sales) (y-axis/rows), Category (color).</w:t>
      </w:r>
    </w:p>
    <w:p>
      <w:pPr/>
      <w:r>
        <w:rPr>
          <w:b/>
          <w:sz w:val="20"/>
        </w:rPr>
        <w:t xml:space="preserve">Calculation Logic: </w:t>
      </w:r>
      <w:r>
        <w:rPr>
          <w:sz w:val="20"/>
        </w:rPr>
        <w:t>Sales are aggregated by calendar month and product category, summing all individual order line amounts within each month-category pair. This chart is linked to the Overview map via a highlight action, so selecting a time period cross-highlights the corresponding geographic data on the Sale Map.</w:t>
      </w:r>
    </w:p>
    <w:p/>
    <w:p>
      <w:pPr/>
      <w:r>
        <w:rPr>
          <w:b/>
          <w:color w:val="1F4995"/>
          <w:sz w:val="21"/>
        </w:rPr>
        <w:t>Sales by Product</w:t>
      </w:r>
    </w:p>
    <w:p>
      <w:pPr/>
      <w:r>
        <w:rPr>
          <w:b/>
          <w:sz w:val="20"/>
        </w:rPr>
        <w:t xml:space="preserve">Purpose: </w:t>
      </w:r>
      <w:r>
        <w:rPr>
          <w:sz w:val="20"/>
        </w:rPr>
        <w:t>A summary bar chart showing aggregate total sales for each of the three product categories side by side. Provides a quick benchmark comparison of category-level revenue for the currently filtered geography.</w:t>
      </w:r>
    </w:p>
    <w:p>
      <w:pPr/>
      <w:r>
        <w:rPr>
          <w:b/>
          <w:sz w:val="20"/>
        </w:rPr>
        <w:t xml:space="preserve">Filters Applied: </w:t>
      </w:r>
      <w:r>
        <w:rPr>
          <w:sz w:val="20"/>
        </w:rPr>
        <w:t>State/Province (from Sale Map action filter), Year, Order Date range.</w:t>
      </w:r>
    </w:p>
    <w:p>
      <w:pPr/>
      <w:r>
        <w:rPr>
          <w:b/>
          <w:sz w:val="20"/>
        </w:rPr>
        <w:t xml:space="preserve">Fields Used: </w:t>
      </w:r>
      <w:r>
        <w:rPr>
          <w:sz w:val="20"/>
        </w:rPr>
        <w:t>Category (rows), SUM(Sales) (columns/bar length).</w:t>
      </w:r>
    </w:p>
    <w:p>
      <w:pPr/>
      <w:r>
        <w:rPr>
          <w:b/>
          <w:sz w:val="20"/>
        </w:rPr>
        <w:t xml:space="preserve">Calculation Logic: </w:t>
      </w:r>
      <w:r>
        <w:rPr>
          <w:sz w:val="20"/>
        </w:rPr>
        <w:t>Total sales are summed per category. This view is a target of the Sale Map action filter — when one or more states are selected on the map, this chart automatically refilters to show only sales originating from customers in those states, allowing a geographic breakdown of category performance. No calculated fields are required beyond a standard SUM aggregation.</w:t>
      </w:r>
    </w:p>
    <w:p/>
    <w:p>
      <w:pPr/>
      <w:r>
        <w:rPr>
          <w:b/>
          <w:color w:val="1F4995"/>
          <w:sz w:val="21"/>
        </w:rPr>
        <w:t>Sales by Segment</w:t>
      </w:r>
    </w:p>
    <w:p>
      <w:pPr/>
      <w:r>
        <w:rPr>
          <w:b/>
          <w:sz w:val="20"/>
        </w:rPr>
        <w:t xml:space="preserve">Purpose: </w:t>
      </w:r>
      <w:r>
        <w:rPr>
          <w:sz w:val="20"/>
        </w:rPr>
        <w:t>A chart showing the sales distribution across the three customer segments: Consumer, Corporate, and Home Office. Allows comparison of segment-level revenue contribution within any geography selected on the map.</w:t>
      </w:r>
    </w:p>
    <w:p>
      <w:pPr/>
      <w:r>
        <w:rPr>
          <w:b/>
          <w:sz w:val="20"/>
        </w:rPr>
        <w:t xml:space="preserve">Filters Applied: </w:t>
      </w:r>
      <w:r>
        <w:rPr>
          <w:sz w:val="20"/>
        </w:rPr>
        <w:t>State/Province (from Sale Map action filter), Year, Order Date range.</w:t>
      </w:r>
    </w:p>
    <w:p>
      <w:pPr/>
      <w:r>
        <w:rPr>
          <w:b/>
          <w:sz w:val="20"/>
        </w:rPr>
        <w:t xml:space="preserve">Fields Used: </w:t>
      </w:r>
      <w:r>
        <w:rPr>
          <w:sz w:val="20"/>
        </w:rPr>
        <w:t>Segment (rows or color), SUM(Sales).</w:t>
      </w:r>
    </w:p>
    <w:p>
      <w:pPr/>
      <w:r>
        <w:rPr>
          <w:b/>
          <w:sz w:val="20"/>
        </w:rPr>
        <w:t xml:space="preserve">Calculation Logic: </w:t>
      </w:r>
      <w:r>
        <w:rPr>
          <w:sz w:val="20"/>
        </w:rPr>
        <w:t>Total sales are aggregated by customer segment. Like Sales by Product, this view responds to the state selection action filter from the Sale Map, so selecting a state will narrow the segment breakdown to orders placed from customers in that state. Both charts together allow a user to quickly answer: "Which categories and segments drive revenue in a given state?"</w:t>
      </w:r>
    </w:p>
    <w:p/>
    <w:p>
      <w:r>
        <w:br w:type="page"/>
      </w:r>
    </w:p>
    <w:p>
      <w:pPr>
        <w:pStyle w:val="Heading2"/>
      </w:pPr>
      <w:r>
        <w:t>5.2 Product Dashboard</w:t>
      </w:r>
    </w:p>
    <w:p>
      <w:pPr/>
      <w:r>
        <w:rPr>
          <w:sz w:val="20"/>
        </w:rPr>
        <w:t>The Product dashboard enables deep analysis of product-level sales and profitability. Users can drill from a category-level heat map down to individual product names and order-level transaction details. A built-in statistical forecast view projects future sales by segment, and a What If Forecast view applies user-defined growth and churn assumptions. Cross-filtering actions connect all views so that selecting a category or time period cascades into the detail sheets.</w:t>
      </w:r>
    </w:p>
    <w:p/>
    <w:p>
      <w:pPr>
        <w:pStyle w:val="Heading3"/>
      </w:pPr>
      <w:r>
        <w:t>5.2.1 Parameters / Filters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F4995"/>
          </w:tcPr>
          <w:p>
            <w:pPr>
              <w:jc w:val="center"/>
            </w:pPr>
            <w:r/>
            <w:r>
              <w:rPr>
                <w:b/>
                <w:color w:val="FFFFFF"/>
                <w:sz w:val="18"/>
              </w:rPr>
              <w:t>Name</w:t>
            </w:r>
          </w:p>
        </w:tc>
        <w:tc>
          <w:tcPr>
            <w:tcW w:type="dxa" w:w="1872"/>
            <w:shd w:val="clear" w:color="auto" w:fill="1F4995"/>
          </w:tcPr>
          <w:p>
            <w:pPr>
              <w:jc w:val="center"/>
            </w:pPr>
            <w:r/>
            <w:r>
              <w:rPr>
                <w:b/>
                <w:color w:val="FFFFFF"/>
                <w:sz w:val="18"/>
              </w:rPr>
              <w:t>Type</w:t>
            </w:r>
          </w:p>
        </w:tc>
        <w:tc>
          <w:tcPr>
            <w:tcW w:type="dxa" w:w="1872"/>
            <w:shd w:val="clear" w:color="auto" w:fill="1F4995"/>
          </w:tcPr>
          <w:p>
            <w:pPr>
              <w:jc w:val="center"/>
            </w:pPr>
            <w:r/>
            <w:r>
              <w:rPr>
                <w:b/>
                <w:color w:val="FFFFFF"/>
                <w:sz w:val="18"/>
              </w:rPr>
              <w:t>Global/Local</w:t>
            </w:r>
          </w:p>
        </w:tc>
        <w:tc>
          <w:tcPr>
            <w:tcW w:type="dxa" w:w="1872"/>
            <w:shd w:val="clear" w:color="auto" w:fill="1F4995"/>
          </w:tcPr>
          <w:p>
            <w:pPr>
              <w:jc w:val="center"/>
            </w:pPr>
            <w:r/>
            <w:r>
              <w:rPr>
                <w:b/>
                <w:color w:val="FFFFFF"/>
                <w:sz w:val="18"/>
              </w:rPr>
              <w:t>Default</w:t>
            </w:r>
          </w:p>
        </w:tc>
        <w:tc>
          <w:tcPr>
            <w:tcW w:type="dxa" w:w="1872"/>
            <w:shd w:val="clear" w:color="auto" w:fill="1F4995"/>
          </w:tcPr>
          <w:p>
            <w:pPr>
              <w:jc w:val="center"/>
            </w:pPr>
            <w:r/>
            <w:r>
              <w:rPr>
                <w:b/>
                <w:color w:val="FFFFFF"/>
                <w:sz w:val="18"/>
              </w:rPr>
              <w:t>Notes</w:t>
            </w:r>
          </w:p>
        </w:tc>
      </w:tr>
      <w:tr>
        <w:tc>
          <w:tcPr>
            <w:tcW w:type="dxa" w:w="1872"/>
            <w:shd w:val="clear" w:color="auto" w:fill="F2F2F2"/>
          </w:tcPr>
          <w:p>
            <w:pPr>
              <w:jc w:val="left"/>
            </w:pPr>
            <w:r/>
            <w:r>
              <w:rPr>
                <w:sz w:val="17"/>
              </w:rPr>
              <w:t>Order Date Range</w:t>
            </w:r>
          </w:p>
        </w:tc>
        <w:tc>
          <w:tcPr>
            <w:tcW w:type="dxa" w:w="1872"/>
            <w:shd w:val="clear" w:color="auto" w:fill="F2F2F2"/>
          </w:tcPr>
          <w:p>
            <w:pPr>
              <w:jc w:val="left"/>
            </w:pPr>
            <w:r/>
            <w:r>
              <w:rPr>
                <w:sz w:val="17"/>
              </w:rPr>
              <w:t>Date Range Filter</w:t>
            </w:r>
          </w:p>
        </w:tc>
        <w:tc>
          <w:tcPr>
            <w:tcW w:type="dxa" w:w="1872"/>
            <w:shd w:val="clear" w:color="auto" w:fill="F2F2F2"/>
          </w:tcPr>
          <w:p>
            <w:pPr>
              <w:jc w:val="left"/>
            </w:pPr>
            <w:r/>
            <w:r>
              <w:rPr>
                <w:sz w:val="17"/>
              </w:rPr>
              <w:t>Global (filter-group 8)</w:t>
            </w:r>
          </w:p>
        </w:tc>
        <w:tc>
          <w:tcPr>
            <w:tcW w:type="dxa" w:w="1872"/>
            <w:shd w:val="clear" w:color="auto" w:fill="F2F2F2"/>
          </w:tcPr>
          <w:p>
            <w:pPr>
              <w:jc w:val="left"/>
            </w:pPr>
            <w:r/>
            <w:r>
              <w:rPr>
                <w:sz w:val="17"/>
              </w:rPr>
              <w:t>Jan 2022 – Dec 2025</w:t>
            </w:r>
          </w:p>
        </w:tc>
        <w:tc>
          <w:tcPr>
            <w:tcW w:type="dxa" w:w="1872"/>
            <w:shd w:val="clear" w:color="auto" w:fill="F2F2F2"/>
          </w:tcPr>
          <w:p>
            <w:pPr>
              <w:jc w:val="left"/>
            </w:pPr>
            <w:r/>
            <w:r>
              <w:rPr>
                <w:sz w:val="17"/>
              </w:rPr>
              <w:t>Shared with Overview and Customers dashboards.</w:t>
            </w:r>
          </w:p>
        </w:tc>
      </w:tr>
      <w:tr>
        <w:tc>
          <w:tcPr>
            <w:tcW w:type="dxa" w:w="1872"/>
            <w:shd w:val="clear" w:color="auto" w:fill="FFFFFF"/>
          </w:tcPr>
          <w:p>
            <w:pPr>
              <w:jc w:val="left"/>
            </w:pPr>
            <w:r/>
            <w:r>
              <w:rPr>
                <w:sz w:val="17"/>
              </w:rPr>
              <w:t>Year</w:t>
            </w:r>
          </w:p>
        </w:tc>
        <w:tc>
          <w:tcPr>
            <w:tcW w:type="dxa" w:w="1872"/>
            <w:shd w:val="clear" w:color="auto" w:fill="FFFFFF"/>
          </w:tcPr>
          <w:p>
            <w:pPr>
              <w:jc w:val="left"/>
            </w:pPr>
            <w:r/>
            <w:r>
              <w:rPr>
                <w:sz w:val="17"/>
              </w:rPr>
              <w:t>Discrete Filter</w:t>
            </w:r>
          </w:p>
        </w:tc>
        <w:tc>
          <w:tcPr>
            <w:tcW w:type="dxa" w:w="1872"/>
            <w:shd w:val="clear" w:color="auto" w:fill="FFFFFF"/>
          </w:tcPr>
          <w:p>
            <w:pPr>
              <w:jc w:val="left"/>
            </w:pPr>
            <w:r/>
            <w:r>
              <w:rPr>
                <w:sz w:val="17"/>
              </w:rPr>
              <w:t>Local (filter-group 9)</w:t>
            </w:r>
          </w:p>
        </w:tc>
        <w:tc>
          <w:tcPr>
            <w:tcW w:type="dxa" w:w="1872"/>
            <w:shd w:val="clear" w:color="auto" w:fill="FFFFFF"/>
          </w:tcPr>
          <w:p>
            <w:pPr>
              <w:jc w:val="left"/>
            </w:pPr>
            <w:r/>
            <w:r>
              <w:rPr>
                <w:sz w:val="17"/>
              </w:rPr>
              <w:t>All Years</w:t>
            </w:r>
          </w:p>
        </w:tc>
        <w:tc>
          <w:tcPr>
            <w:tcW w:type="dxa" w:w="1872"/>
            <w:shd w:val="clear" w:color="auto" w:fill="FFFFFF"/>
          </w:tcPr>
          <w:p>
            <w:pPr>
              <w:jc w:val="left"/>
            </w:pPr>
            <w:r/>
            <w:r>
              <w:rPr>
                <w:sz w:val="17"/>
              </w:rPr>
              <w:t>Shared with Customers dashboard.</w:t>
            </w:r>
          </w:p>
        </w:tc>
      </w:tr>
      <w:tr>
        <w:tc>
          <w:tcPr>
            <w:tcW w:type="dxa" w:w="1872"/>
            <w:shd w:val="clear" w:color="auto" w:fill="F2F2F2"/>
          </w:tcPr>
          <w:p>
            <w:pPr>
              <w:jc w:val="left"/>
            </w:pPr>
            <w:r/>
            <w:r>
              <w:rPr>
                <w:sz w:val="17"/>
              </w:rPr>
              <w:t>Region</w:t>
            </w:r>
          </w:p>
        </w:tc>
        <w:tc>
          <w:tcPr>
            <w:tcW w:type="dxa" w:w="1872"/>
            <w:shd w:val="clear" w:color="auto" w:fill="F2F2F2"/>
          </w:tcPr>
          <w:p>
            <w:pPr>
              <w:jc w:val="left"/>
            </w:pPr>
            <w:r/>
            <w:r>
              <w:rPr>
                <w:sz w:val="17"/>
              </w:rPr>
              <w:t>Discrete Filter</w:t>
            </w:r>
          </w:p>
        </w:tc>
        <w:tc>
          <w:tcPr>
            <w:tcW w:type="dxa" w:w="1872"/>
            <w:shd w:val="clear" w:color="auto" w:fill="F2F2F2"/>
          </w:tcPr>
          <w:p>
            <w:pPr>
              <w:jc w:val="left"/>
            </w:pPr>
            <w:r/>
            <w:r>
              <w:rPr>
                <w:sz w:val="17"/>
              </w:rPr>
              <w:t>Local (filter-group 4)</w:t>
            </w:r>
          </w:p>
        </w:tc>
        <w:tc>
          <w:tcPr>
            <w:tcW w:type="dxa" w:w="1872"/>
            <w:shd w:val="clear" w:color="auto" w:fill="F2F2F2"/>
          </w:tcPr>
          <w:p>
            <w:pPr>
              <w:jc w:val="left"/>
            </w:pPr>
            <w:r/>
            <w:r>
              <w:rPr>
                <w:sz w:val="17"/>
              </w:rPr>
              <w:t>All Regions</w:t>
            </w:r>
          </w:p>
        </w:tc>
        <w:tc>
          <w:tcPr>
            <w:tcW w:type="dxa" w:w="1872"/>
            <w:shd w:val="clear" w:color="auto" w:fill="F2F2F2"/>
          </w:tcPr>
          <w:p>
            <w:pPr>
              <w:jc w:val="left"/>
            </w:pPr>
            <w:r/>
            <w:r>
              <w:rPr>
                <w:sz w:val="17"/>
              </w:rPr>
              <w:t>Filters all product views by region.</w:t>
            </w:r>
          </w:p>
        </w:tc>
      </w:tr>
      <w:tr>
        <w:tc>
          <w:tcPr>
            <w:tcW w:type="dxa" w:w="1872"/>
            <w:shd w:val="clear" w:color="auto" w:fill="FFFFFF"/>
          </w:tcPr>
          <w:p>
            <w:pPr>
              <w:jc w:val="left"/>
            </w:pPr>
            <w:r/>
            <w:r>
              <w:rPr>
                <w:sz w:val="17"/>
              </w:rPr>
              <w:t>New Business Growth</w:t>
            </w:r>
          </w:p>
        </w:tc>
        <w:tc>
          <w:tcPr>
            <w:tcW w:type="dxa" w:w="1872"/>
            <w:shd w:val="clear" w:color="auto" w:fill="FFFFFF"/>
          </w:tcPr>
          <w:p>
            <w:pPr>
              <w:jc w:val="left"/>
            </w:pPr>
            <w:r/>
            <w:r>
              <w:rPr>
                <w:sz w:val="17"/>
              </w:rPr>
              <w:t>Parameter</w:t>
            </w:r>
          </w:p>
        </w:tc>
        <w:tc>
          <w:tcPr>
            <w:tcW w:type="dxa" w:w="1872"/>
            <w:shd w:val="clear" w:color="auto" w:fill="FFFFFF"/>
          </w:tcPr>
          <w:p>
            <w:pPr>
              <w:jc w:val="left"/>
            </w:pPr>
            <w:r/>
            <w:r>
              <w:rPr>
                <w:sz w:val="17"/>
              </w:rPr>
              <w:t>Global</w:t>
            </w:r>
          </w:p>
        </w:tc>
        <w:tc>
          <w:tcPr>
            <w:tcW w:type="dxa" w:w="1872"/>
            <w:shd w:val="clear" w:color="auto" w:fill="FFFFFF"/>
          </w:tcPr>
          <w:p>
            <w:pPr>
              <w:jc w:val="left"/>
            </w:pPr>
            <w:r/>
            <w:r>
              <w:rPr>
                <w:sz w:val="17"/>
              </w:rPr>
              <w:t>60%</w:t>
            </w:r>
          </w:p>
        </w:tc>
        <w:tc>
          <w:tcPr>
            <w:tcW w:type="dxa" w:w="1872"/>
            <w:shd w:val="clear" w:color="auto" w:fill="FFFFFF"/>
          </w:tcPr>
          <w:p>
            <w:pPr>
              <w:jc w:val="left"/>
            </w:pPr>
            <w:r/>
            <w:r>
              <w:rPr>
                <w:sz w:val="17"/>
              </w:rPr>
              <w:t>Used in What If Forecast; see Section 4.</w:t>
            </w:r>
          </w:p>
        </w:tc>
      </w:tr>
      <w:tr>
        <w:tc>
          <w:tcPr>
            <w:tcW w:type="dxa" w:w="1872"/>
            <w:shd w:val="clear" w:color="auto" w:fill="F2F2F2"/>
          </w:tcPr>
          <w:p>
            <w:pPr>
              <w:jc w:val="left"/>
            </w:pPr>
            <w:r/>
            <w:r>
              <w:rPr>
                <w:sz w:val="17"/>
              </w:rPr>
              <w:t>Churn Rate</w:t>
            </w:r>
          </w:p>
        </w:tc>
        <w:tc>
          <w:tcPr>
            <w:tcW w:type="dxa" w:w="1872"/>
            <w:shd w:val="clear" w:color="auto" w:fill="F2F2F2"/>
          </w:tcPr>
          <w:p>
            <w:pPr>
              <w:jc w:val="left"/>
            </w:pPr>
            <w:r/>
            <w:r>
              <w:rPr>
                <w:sz w:val="17"/>
              </w:rPr>
              <w:t>Parameter</w:t>
            </w:r>
          </w:p>
        </w:tc>
        <w:tc>
          <w:tcPr>
            <w:tcW w:type="dxa" w:w="1872"/>
            <w:shd w:val="clear" w:color="auto" w:fill="F2F2F2"/>
          </w:tcPr>
          <w:p>
            <w:pPr>
              <w:jc w:val="left"/>
            </w:pPr>
            <w:r/>
            <w:r>
              <w:rPr>
                <w:sz w:val="17"/>
              </w:rPr>
              <w:t>Global</w:t>
            </w:r>
          </w:p>
        </w:tc>
        <w:tc>
          <w:tcPr>
            <w:tcW w:type="dxa" w:w="1872"/>
            <w:shd w:val="clear" w:color="auto" w:fill="F2F2F2"/>
          </w:tcPr>
          <w:p>
            <w:pPr>
              <w:jc w:val="left"/>
            </w:pPr>
            <w:r/>
            <w:r>
              <w:rPr>
                <w:sz w:val="17"/>
              </w:rPr>
              <w:t>6.4%</w:t>
            </w:r>
          </w:p>
        </w:tc>
        <w:tc>
          <w:tcPr>
            <w:tcW w:type="dxa" w:w="1872"/>
            <w:shd w:val="clear" w:color="auto" w:fill="F2F2F2"/>
          </w:tcPr>
          <w:p>
            <w:pPr>
              <w:jc w:val="left"/>
            </w:pPr>
            <w:r/>
            <w:r>
              <w:rPr>
                <w:sz w:val="17"/>
              </w:rPr>
              <w:t>Used in What If Forecast; see Section 4.</w:t>
            </w:r>
          </w:p>
        </w:tc>
      </w:tr>
    </w:tbl>
    <w:p/>
    <w:p>
      <w:pPr>
        <w:pStyle w:val="Heading3"/>
      </w:pPr>
      <w:r>
        <w:t>5.2.2 Visualizations</w:t>
      </w:r>
    </w:p>
    <w:p>
      <w:pPr/>
      <w:r>
        <w:rPr>
          <w:b/>
          <w:color w:val="1F4995"/>
          <w:sz w:val="21"/>
        </w:rPr>
        <w:t>ProductView (Sales by Product Category Heat Map)</w:t>
      </w:r>
    </w:p>
    <w:p>
      <w:pPr/>
      <w:r>
        <w:rPr>
          <w:b/>
          <w:sz w:val="20"/>
        </w:rPr>
        <w:t xml:space="preserve">Purpose: </w:t>
      </w:r>
      <w:r>
        <w:rPr>
          <w:sz w:val="20"/>
        </w:rPr>
        <w:t>A highlight table (heat map) showing monthly sales for each product category across calendar years. Cell color encodes sales intensity using a blue gradient — darker cells represent higher sales — making it easy to spot seasonal peaks and year-over-year growth at a glance.</w:t>
      </w:r>
    </w:p>
    <w:p>
      <w:pPr/>
      <w:r>
        <w:rPr>
          <w:b/>
          <w:sz w:val="20"/>
        </w:rPr>
        <w:t xml:space="preserve">Filters Applied: </w:t>
      </w:r>
      <w:r>
        <w:rPr>
          <w:sz w:val="20"/>
        </w:rPr>
        <w:t>Year (filter-group 9), Region (filter-group 4), Category.</w:t>
      </w:r>
    </w:p>
    <w:p>
      <w:pPr/>
      <w:r>
        <w:rPr>
          <w:b/>
          <w:sz w:val="20"/>
        </w:rPr>
        <w:t xml:space="preserve">Fields Used: </w:t>
      </w:r>
      <w:r>
        <w:rPr>
          <w:sz w:val="20"/>
        </w:rPr>
        <w:t>Category (rows), Year of Order Date (rows), Month of Order Date (columns), SUM(Sales) (cell color and label).</w:t>
      </w:r>
    </w:p>
    <w:p>
      <w:pPr/>
      <w:r>
        <w:rPr>
          <w:b/>
          <w:sz w:val="20"/>
        </w:rPr>
        <w:t xml:space="preserve">Calculation Logic: </w:t>
      </w:r>
      <w:r>
        <w:rPr>
          <w:sz w:val="20"/>
        </w:rPr>
        <w:t>Each cell aggregates total sales dollars for a specific category, year, and calendar month combination. The blue color gradient is mapped to the sum of sales across all cells in the view. Clicking a cell triggers the "Filter Product Sales 1" action filter, which updates ProductDetails, Product Detail Sheet, and Performance to show only data for the selected category and time period.</w:t>
      </w:r>
    </w:p>
    <w:p/>
    <w:p>
      <w:pPr/>
      <w:r>
        <w:rPr>
          <w:b/>
          <w:color w:val="1F4995"/>
          <w:sz w:val="21"/>
        </w:rPr>
        <w:t>ProductDetails (Sales and Profit by Product Name)</w:t>
      </w:r>
    </w:p>
    <w:p>
      <w:pPr/>
      <w:r>
        <w:rPr>
          <w:b/>
          <w:sz w:val="20"/>
        </w:rPr>
        <w:t xml:space="preserve">Purpose: </w:t>
      </w:r>
      <w:r>
        <w:rPr>
          <w:sz w:val="20"/>
        </w:rPr>
        <w:t>A dot/circle chart showing individual product-level sales and profitability, organized by product sub-category and customer segment. Helps identify high-revenue products and those with poor profit margins simultaneously.</w:t>
      </w:r>
    </w:p>
    <w:p>
      <w:pPr/>
      <w:r>
        <w:rPr>
          <w:b/>
          <w:sz w:val="20"/>
        </w:rPr>
        <w:t xml:space="preserve">Filters Applied: </w:t>
      </w:r>
      <w:r>
        <w:rPr>
          <w:sz w:val="20"/>
        </w:rPr>
        <w:t>Year, Month (from ProductView action), Region, action filters from ProductView.</w:t>
      </w:r>
    </w:p>
    <w:p>
      <w:pPr/>
      <w:r>
        <w:rPr>
          <w:b/>
          <w:sz w:val="20"/>
        </w:rPr>
        <w:t xml:space="preserve">Fields Used: </w:t>
      </w:r>
      <w:r>
        <w:rPr>
          <w:sz w:val="20"/>
        </w:rPr>
        <w:t>Sub-Category (rows), Segment (columns), SUM(Sales) (horizontal position), Profit Ratio (color — red-to-black gradient). Tooltip: Product Name, Sales, Profit, Profit Ratio. Median reference line drawn per pane.</w:t>
      </w:r>
    </w:p>
    <w:p>
      <w:pPr/>
      <w:r>
        <w:rPr>
          <w:b/>
          <w:sz w:val="20"/>
        </w:rPr>
        <w:t xml:space="preserve">Calculation Logic: </w:t>
      </w:r>
      <w:r>
        <w:rPr>
          <w:sz w:val="20"/>
        </w:rPr>
        <w:t>Each circle mark represents one unique product aggregated within a sub-category and segment combination. The dot's horizontal position encodes its total sales, while its color encodes the Profit Ratio (total profit divided by total sales — see Section 6 for the raw formula). Red/warm colors indicate negative or very low profit ratios; dark/black indicates high profitability. The median reference line per pane enables quick identification of above- and below-median performers within each sub-category and segment pairing.</w:t>
      </w:r>
    </w:p>
    <w:p/>
    <w:p>
      <w:pPr/>
      <w:r>
        <w:rPr>
          <w:b/>
          <w:color w:val="1F4995"/>
          <w:sz w:val="21"/>
        </w:rPr>
        <w:t>Product Detail Sheet (Order-Level Transaction Detail)</w:t>
      </w:r>
    </w:p>
    <w:p>
      <w:pPr/>
      <w:r>
        <w:rPr>
          <w:b/>
          <w:sz w:val="20"/>
        </w:rPr>
        <w:t xml:space="preserve">Purpose: </w:t>
      </w:r>
      <w:r>
        <w:rPr>
          <w:sz w:val="20"/>
        </w:rPr>
        <w:t>A tabular view showing transaction-level metrics for individual orders. Provides granular data for analysts who need to inspect specific orders, discounts applied, profitability, and shipping performance.</w:t>
      </w:r>
    </w:p>
    <w:p>
      <w:pPr/>
      <w:r>
        <w:rPr>
          <w:b/>
          <w:sz w:val="20"/>
        </w:rPr>
        <w:t xml:space="preserve">Filters Applied: </w:t>
      </w:r>
      <w:r>
        <w:rPr>
          <w:sz w:val="20"/>
        </w:rPr>
        <w:t>Category, Segment, Region, State/Province, City, Order Date (range and specific date), action filters from ProductView.</w:t>
      </w:r>
    </w:p>
    <w:p>
      <w:pPr/>
      <w:r>
        <w:rPr>
          <w:b/>
          <w:sz w:val="20"/>
        </w:rPr>
        <w:t xml:space="preserve">Fields Used: </w:t>
      </w:r>
      <w:r>
        <w:rPr>
          <w:sz w:val="20"/>
        </w:rPr>
        <w:t>Rows: Order ID, Customer Name, Order Date, Ship Date, Ship Mode. Columns: Sales, Quantity, Discount, Profit, Profit Ratio, Days to Ship Scheduled, Days to Ship Actual.</w:t>
      </w:r>
    </w:p>
    <w:p>
      <w:pPr/>
      <w:r>
        <w:rPr>
          <w:b/>
          <w:sz w:val="20"/>
        </w:rPr>
        <w:t xml:space="preserve">Calculation Logic: </w:t>
      </w:r>
      <w:r>
        <w:rPr>
          <w:sz w:val="20"/>
        </w:rPr>
        <w:t>This is a row-level detail sheet rendered at the individual order line level. Profit Ratio for each row is the sum of Profit divided by the sum of Sales within that order (see Section 6). Days to Ship Scheduled is a lookup on Ship Mode: Same Day = 0 days, First Class = 1 day, Second Class = 3 days, Standard Class = 6 days. Days to Ship Actual is the calendar day difference between the Ship Date and the Order Date computed using DATEDIFF. See Section 6 for the full formulas of all three calculated fields.</w:t>
      </w:r>
    </w:p>
    <w:p/>
    <w:p>
      <w:pPr/>
      <w:r>
        <w:rPr>
          <w:b/>
          <w:color w:val="1F4995"/>
          <w:sz w:val="21"/>
        </w:rPr>
        <w:t>Performance (Sales vs. Target)</w:t>
      </w:r>
    </w:p>
    <w:p>
      <w:pPr/>
      <w:r>
        <w:rPr>
          <w:b/>
          <w:sz w:val="20"/>
        </w:rPr>
        <w:t xml:space="preserve">Purpose: </w:t>
      </w:r>
      <w:r>
        <w:rPr>
          <w:sz w:val="20"/>
        </w:rPr>
        <w:t>A bar chart comparing actual monthly sales against pre-set sales targets, broken down by product category and customer segment. Bars are color-coded to immediately flag whether performance is above or below target.</w:t>
      </w:r>
    </w:p>
    <w:p>
      <w:pPr/>
      <w:r>
        <w:rPr>
          <w:b/>
          <w:sz w:val="20"/>
        </w:rPr>
        <w:t xml:space="preserve">Filters Applied: </w:t>
      </w:r>
      <w:r>
        <w:rPr>
          <w:sz w:val="20"/>
        </w:rPr>
        <w:t>Year, Region.</w:t>
      </w:r>
    </w:p>
    <w:p>
      <w:pPr/>
      <w:r>
        <w:rPr>
          <w:b/>
          <w:sz w:val="20"/>
        </w:rPr>
        <w:t xml:space="preserve">Fields Used: </w:t>
      </w:r>
      <w:r>
        <w:rPr>
          <w:sz w:val="20"/>
        </w:rPr>
        <w:t>Year and Month of Order Date (rows), Segment (rows), Category (columns), SUM(Sales) (bar length), Sales above Target? (bar color). Reference line: average Sales Target per cell. Tooltip: Sales, Sales Target, Sales vs Target Difference.</w:t>
      </w:r>
    </w:p>
    <w:p>
      <w:pPr/>
      <w:r>
        <w:rPr>
          <w:b/>
          <w:sz w:val="20"/>
        </w:rPr>
        <w:t xml:space="preserve">Calculation Logic: </w:t>
      </w:r>
      <w:r>
        <w:rPr>
          <w:sz w:val="20"/>
        </w:rPr>
        <w:t>For each year/month/segment/category combination, actual sales from the Superstore Orders table are compared against the corresponding pre-set Sales Target from the Sales Target Excel data source, blended on Category, Order Date, and Segment. The "Sales above Target?" flag compares SUM(Sales) to SUM(Sales Target) — teal/green for above-target and purple for below. The tooltip also shows the raw dollar gap between actual and target sales. Both "Sales above Target?" and "Sales vs Target Difference" are calculated fields — see Section 6 for the formulas.</w:t>
      </w:r>
    </w:p>
    <w:p/>
    <w:p>
      <w:pPr/>
      <w:r>
        <w:rPr>
          <w:b/>
          <w:color w:val="1F4995"/>
          <w:sz w:val="21"/>
        </w:rPr>
        <w:t>Forecast (Statistical Sales Forecast by Segment)</w:t>
      </w:r>
    </w:p>
    <w:p>
      <w:pPr/>
      <w:r>
        <w:rPr>
          <w:b/>
          <w:sz w:val="20"/>
        </w:rPr>
        <w:t xml:space="preserve">Purpose: </w:t>
      </w:r>
      <w:r>
        <w:rPr>
          <w:sz w:val="20"/>
        </w:rPr>
        <w:t>A line chart showing historical monthly sales by customer segment, extended forward with a statistical forecast. Helps the business anticipate future revenue trajectories by segment.</w:t>
      </w:r>
    </w:p>
    <w:p>
      <w:pPr/>
      <w:r>
        <w:rPr>
          <w:b/>
          <w:sz w:val="20"/>
        </w:rPr>
        <w:t xml:space="preserve">Filters Applied: </w:t>
      </w:r>
      <w:r>
        <w:rPr>
          <w:sz w:val="20"/>
        </w:rPr>
        <w:t>Order Date range (global), Region.</w:t>
      </w:r>
    </w:p>
    <w:p>
      <w:pPr/>
      <w:r>
        <w:rPr>
          <w:b/>
          <w:sz w:val="20"/>
        </w:rPr>
        <w:t xml:space="preserve">Fields Used: </w:t>
      </w:r>
      <w:r>
        <w:rPr>
          <w:sz w:val="20"/>
        </w:rPr>
        <w:t>Month of Order Date (columns, truncated to month), SUM(Sales) / Forecast Value (rows), Segment (color). Forecast: 95% confidence interval bands. Forecast Indicator dimension: "Actual" vs "Estimate".</w:t>
      </w:r>
    </w:p>
    <w:p>
      <w:pPr/>
      <w:r>
        <w:rPr>
          <w:b/>
          <w:sz w:val="20"/>
        </w:rPr>
        <w:t xml:space="preserve">Calculation Logic: </w:t>
      </w:r>
      <w:r>
        <w:rPr>
          <w:sz w:val="20"/>
        </w:rPr>
        <w:t>Historical sales are plotted as solid lines by segment. Tableau's built-in Exponential Triple Smoothing (ETS) model with additive trend and additive seasonality projects the trend forward, ignoring the final data period to reduce end-of-series distortion. The forecast line and its 95% confidence interval band are visually distinct from the historical actuals. The automatically generated Forecast Indicator dimension labels each point as "Actual" or "Estimate" and can be used in filters or tooltips.</w:t>
      </w:r>
    </w:p>
    <w:p/>
    <w:p>
      <w:pPr/>
      <w:r>
        <w:rPr>
          <w:b/>
          <w:color w:val="1F4995"/>
          <w:sz w:val="21"/>
        </w:rPr>
        <w:t>What If Forecast (Scenario Analysis)</w:t>
      </w:r>
    </w:p>
    <w:p>
      <w:pPr/>
      <w:r>
        <w:rPr>
          <w:b/>
          <w:sz w:val="20"/>
        </w:rPr>
        <w:t xml:space="preserve">Purpose: </w:t>
      </w:r>
      <w:r>
        <w:rPr>
          <w:sz w:val="20"/>
        </w:rPr>
        <w:t>A scenario analysis chart that applies the New Business Growth and Churn Rate parameters to project adjusted future sales and estimated order units. Allows management to test what-if scenarios by adjusting growth and churn assumptions via parameter sliders.</w:t>
      </w:r>
    </w:p>
    <w:p>
      <w:pPr/>
      <w:r>
        <w:rPr>
          <w:b/>
          <w:sz w:val="20"/>
        </w:rPr>
        <w:t xml:space="preserve">Filters Applied: </w:t>
      </w:r>
      <w:r>
        <w:rPr>
          <w:sz w:val="20"/>
        </w:rPr>
        <w:t>Order Date range (global), Region.</w:t>
      </w:r>
    </w:p>
    <w:p>
      <w:pPr/>
      <w:r>
        <w:rPr>
          <w:b/>
          <w:sz w:val="20"/>
        </w:rPr>
        <w:t xml:space="preserve">Fields Used: </w:t>
      </w:r>
      <w:r>
        <w:rPr>
          <w:sz w:val="20"/>
        </w:rPr>
        <w:t>Order Date (columns, continuous), SUM(Sales) (actual line), SUM(Sales Forecast) (projected line), SUM(Units estimate) (secondary axis). Parameters: New Business Growth, Churn Rate.</w:t>
      </w:r>
    </w:p>
    <w:p>
      <w:pPr/>
      <w:r>
        <w:rPr>
          <w:b/>
          <w:sz w:val="20"/>
        </w:rPr>
        <w:t xml:space="preserve">Calculation Logic: </w:t>
      </w:r>
      <w:r>
        <w:rPr>
          <w:sz w:val="20"/>
        </w:rPr>
        <w:t>The Sales Forecast calculated field takes actual sales and multiplies by (1 minus Churn Rate) to account for expected customer attrition, then multiplies again by (1 plus New Business Growth) to model incremental new customer revenue. The net result represents expected future sales under the specified assumptions. Units estimate applies the identical logic to the Quantity field and rounds to the nearest whole unit. Adjusting either parameter via its slider instantly recalculates both projected lines. See Section 6 for the raw formulas of both calculated fields.</w:t>
      </w:r>
    </w:p>
    <w:p/>
    <w:p>
      <w:r>
        <w:br w:type="page"/>
      </w:r>
    </w:p>
    <w:p>
      <w:pPr>
        <w:pStyle w:val="Heading2"/>
      </w:pPr>
      <w:r>
        <w:t>5.3 Customers Dashboard</w:t>
      </w:r>
    </w:p>
    <w:p>
      <w:pPr/>
      <w:r>
        <w:rPr>
          <w:sz w:val="20"/>
        </w:rPr>
        <w:t>The Customers dashboard provides a 360-degree view of individual and regional customer performance. A regional KPI summary table enables quick geographic comparison across six key metrics. Clicking a region triggers an action filter that narrows both the customer ranking bar chart and the customer scatter plot to show only customers in that region. A hover action cross-highlights a specific customer across all views simultaneously.</w:t>
      </w:r>
    </w:p>
    <w:p/>
    <w:p>
      <w:pPr>
        <w:pStyle w:val="Heading3"/>
      </w:pPr>
      <w:r>
        <w:t>5.3.1 Parameters / Filters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F4995"/>
          </w:tcPr>
          <w:p>
            <w:pPr>
              <w:jc w:val="center"/>
            </w:pPr>
            <w:r/>
            <w:r>
              <w:rPr>
                <w:b/>
                <w:color w:val="FFFFFF"/>
                <w:sz w:val="18"/>
              </w:rPr>
              <w:t>Name</w:t>
            </w:r>
          </w:p>
        </w:tc>
        <w:tc>
          <w:tcPr>
            <w:tcW w:type="dxa" w:w="1872"/>
            <w:shd w:val="clear" w:color="auto" w:fill="1F4995"/>
          </w:tcPr>
          <w:p>
            <w:pPr>
              <w:jc w:val="center"/>
            </w:pPr>
            <w:r/>
            <w:r>
              <w:rPr>
                <w:b/>
                <w:color w:val="FFFFFF"/>
                <w:sz w:val="18"/>
              </w:rPr>
              <w:t>Type</w:t>
            </w:r>
          </w:p>
        </w:tc>
        <w:tc>
          <w:tcPr>
            <w:tcW w:type="dxa" w:w="1872"/>
            <w:shd w:val="clear" w:color="auto" w:fill="1F4995"/>
          </w:tcPr>
          <w:p>
            <w:pPr>
              <w:jc w:val="center"/>
            </w:pPr>
            <w:r/>
            <w:r>
              <w:rPr>
                <w:b/>
                <w:color w:val="FFFFFF"/>
                <w:sz w:val="18"/>
              </w:rPr>
              <w:t>Global/Local</w:t>
            </w:r>
          </w:p>
        </w:tc>
        <w:tc>
          <w:tcPr>
            <w:tcW w:type="dxa" w:w="1872"/>
            <w:shd w:val="clear" w:color="auto" w:fill="1F4995"/>
          </w:tcPr>
          <w:p>
            <w:pPr>
              <w:jc w:val="center"/>
            </w:pPr>
            <w:r/>
            <w:r>
              <w:rPr>
                <w:b/>
                <w:color w:val="FFFFFF"/>
                <w:sz w:val="18"/>
              </w:rPr>
              <w:t>Default</w:t>
            </w:r>
          </w:p>
        </w:tc>
        <w:tc>
          <w:tcPr>
            <w:tcW w:type="dxa" w:w="1872"/>
            <w:shd w:val="clear" w:color="auto" w:fill="1F4995"/>
          </w:tcPr>
          <w:p>
            <w:pPr>
              <w:jc w:val="center"/>
            </w:pPr>
            <w:r/>
            <w:r>
              <w:rPr>
                <w:b/>
                <w:color w:val="FFFFFF"/>
                <w:sz w:val="18"/>
              </w:rPr>
              <w:t>Notes</w:t>
            </w:r>
          </w:p>
        </w:tc>
      </w:tr>
      <w:tr>
        <w:tc>
          <w:tcPr>
            <w:tcW w:type="dxa" w:w="1872"/>
            <w:shd w:val="clear" w:color="auto" w:fill="F2F2F2"/>
          </w:tcPr>
          <w:p>
            <w:pPr>
              <w:jc w:val="left"/>
            </w:pPr>
            <w:r/>
            <w:r>
              <w:rPr>
                <w:sz w:val="17"/>
              </w:rPr>
              <w:t>Order Date Range</w:t>
            </w:r>
          </w:p>
        </w:tc>
        <w:tc>
          <w:tcPr>
            <w:tcW w:type="dxa" w:w="1872"/>
            <w:shd w:val="clear" w:color="auto" w:fill="F2F2F2"/>
          </w:tcPr>
          <w:p>
            <w:pPr>
              <w:jc w:val="left"/>
            </w:pPr>
            <w:r/>
            <w:r>
              <w:rPr>
                <w:sz w:val="17"/>
              </w:rPr>
              <w:t>Date Range Filter</w:t>
            </w:r>
          </w:p>
        </w:tc>
        <w:tc>
          <w:tcPr>
            <w:tcW w:type="dxa" w:w="1872"/>
            <w:shd w:val="clear" w:color="auto" w:fill="F2F2F2"/>
          </w:tcPr>
          <w:p>
            <w:pPr>
              <w:jc w:val="left"/>
            </w:pPr>
            <w:r/>
            <w:r>
              <w:rPr>
                <w:sz w:val="17"/>
              </w:rPr>
              <w:t>Global (filter-group 8)</w:t>
            </w:r>
          </w:p>
        </w:tc>
        <w:tc>
          <w:tcPr>
            <w:tcW w:type="dxa" w:w="1872"/>
            <w:shd w:val="clear" w:color="auto" w:fill="F2F2F2"/>
          </w:tcPr>
          <w:p>
            <w:pPr>
              <w:jc w:val="left"/>
            </w:pPr>
            <w:r/>
            <w:r>
              <w:rPr>
                <w:sz w:val="17"/>
              </w:rPr>
              <w:t>Jan 2022 – Dec 2025</w:t>
            </w:r>
          </w:p>
        </w:tc>
        <w:tc>
          <w:tcPr>
            <w:tcW w:type="dxa" w:w="1872"/>
            <w:shd w:val="clear" w:color="auto" w:fill="F2F2F2"/>
          </w:tcPr>
          <w:p>
            <w:pPr>
              <w:jc w:val="left"/>
            </w:pPr>
            <w:r/>
            <w:r>
              <w:rPr>
                <w:sz w:val="17"/>
              </w:rPr>
              <w:t>Shared with Overview and Product dashboards.</w:t>
            </w:r>
          </w:p>
        </w:tc>
      </w:tr>
      <w:tr>
        <w:tc>
          <w:tcPr>
            <w:tcW w:type="dxa" w:w="1872"/>
            <w:shd w:val="clear" w:color="auto" w:fill="FFFFFF"/>
          </w:tcPr>
          <w:p>
            <w:pPr>
              <w:jc w:val="left"/>
            </w:pPr>
            <w:r/>
            <w:r>
              <w:rPr>
                <w:sz w:val="17"/>
              </w:rPr>
              <w:t>Year</w:t>
            </w:r>
          </w:p>
        </w:tc>
        <w:tc>
          <w:tcPr>
            <w:tcW w:type="dxa" w:w="1872"/>
            <w:shd w:val="clear" w:color="auto" w:fill="FFFFFF"/>
          </w:tcPr>
          <w:p>
            <w:pPr>
              <w:jc w:val="left"/>
            </w:pPr>
            <w:r/>
            <w:r>
              <w:rPr>
                <w:sz w:val="17"/>
              </w:rPr>
              <w:t>Discrete Filter</w:t>
            </w:r>
          </w:p>
        </w:tc>
        <w:tc>
          <w:tcPr>
            <w:tcW w:type="dxa" w:w="1872"/>
            <w:shd w:val="clear" w:color="auto" w:fill="FFFFFF"/>
          </w:tcPr>
          <w:p>
            <w:pPr>
              <w:jc w:val="left"/>
            </w:pPr>
            <w:r/>
            <w:r>
              <w:rPr>
                <w:sz w:val="17"/>
              </w:rPr>
              <w:t>Local (filter-group 9)</w:t>
            </w:r>
          </w:p>
        </w:tc>
        <w:tc>
          <w:tcPr>
            <w:tcW w:type="dxa" w:w="1872"/>
            <w:shd w:val="clear" w:color="auto" w:fill="FFFFFF"/>
          </w:tcPr>
          <w:p>
            <w:pPr>
              <w:jc w:val="left"/>
            </w:pPr>
            <w:r/>
            <w:r>
              <w:rPr>
                <w:sz w:val="17"/>
              </w:rPr>
              <w:t>All Years</w:t>
            </w:r>
          </w:p>
        </w:tc>
        <w:tc>
          <w:tcPr>
            <w:tcW w:type="dxa" w:w="1872"/>
            <w:shd w:val="clear" w:color="auto" w:fill="FFFFFF"/>
          </w:tcPr>
          <w:p>
            <w:pPr>
              <w:jc w:val="left"/>
            </w:pPr>
            <w:r/>
            <w:r>
              <w:rPr>
                <w:sz w:val="17"/>
              </w:rPr>
              <w:t>Shared with Product dashboard.</w:t>
            </w:r>
          </w:p>
        </w:tc>
      </w:tr>
      <w:tr>
        <w:tc>
          <w:tcPr>
            <w:tcW w:type="dxa" w:w="1872"/>
            <w:shd w:val="clear" w:color="auto" w:fill="F2F2F2"/>
          </w:tcPr>
          <w:p>
            <w:pPr>
              <w:jc w:val="left"/>
            </w:pPr>
            <w:r/>
            <w:r>
              <w:rPr>
                <w:sz w:val="17"/>
              </w:rPr>
              <w:t>Segment</w:t>
            </w:r>
          </w:p>
        </w:tc>
        <w:tc>
          <w:tcPr>
            <w:tcW w:type="dxa" w:w="1872"/>
            <w:shd w:val="clear" w:color="auto" w:fill="F2F2F2"/>
          </w:tcPr>
          <w:p>
            <w:pPr>
              <w:jc w:val="left"/>
            </w:pPr>
            <w:r/>
            <w:r>
              <w:rPr>
                <w:sz w:val="17"/>
              </w:rPr>
              <w:t>Discrete Filter</w:t>
            </w:r>
          </w:p>
        </w:tc>
        <w:tc>
          <w:tcPr>
            <w:tcW w:type="dxa" w:w="1872"/>
            <w:shd w:val="clear" w:color="auto" w:fill="F2F2F2"/>
          </w:tcPr>
          <w:p>
            <w:pPr>
              <w:jc w:val="left"/>
            </w:pPr>
            <w:r/>
            <w:r>
              <w:rPr>
                <w:sz w:val="17"/>
              </w:rPr>
              <w:t>Local (filter-group 12)</w:t>
            </w:r>
          </w:p>
        </w:tc>
        <w:tc>
          <w:tcPr>
            <w:tcW w:type="dxa" w:w="1872"/>
            <w:shd w:val="clear" w:color="auto" w:fill="F2F2F2"/>
          </w:tcPr>
          <w:p>
            <w:pPr>
              <w:jc w:val="left"/>
            </w:pPr>
            <w:r/>
            <w:r>
              <w:rPr>
                <w:sz w:val="17"/>
              </w:rPr>
              <w:t>All Segments</w:t>
            </w:r>
          </w:p>
        </w:tc>
        <w:tc>
          <w:tcPr>
            <w:tcW w:type="dxa" w:w="1872"/>
            <w:shd w:val="clear" w:color="auto" w:fill="F2F2F2"/>
          </w:tcPr>
          <w:p>
            <w:pPr>
              <w:jc w:val="left"/>
            </w:pPr>
            <w:r/>
            <w:r>
              <w:rPr>
                <w:sz w:val="17"/>
              </w:rPr>
              <w:t>Filters all customer views by customer segment.</w:t>
            </w:r>
          </w:p>
        </w:tc>
      </w:tr>
      <w:tr>
        <w:tc>
          <w:tcPr>
            <w:tcW w:type="dxa" w:w="1872"/>
            <w:shd w:val="clear" w:color="auto" w:fill="FFFFFF"/>
          </w:tcPr>
          <w:p>
            <w:pPr>
              <w:jc w:val="left"/>
            </w:pPr>
            <w:r/>
            <w:r>
              <w:rPr>
                <w:sz w:val="17"/>
              </w:rPr>
              <w:t>Category</w:t>
            </w:r>
          </w:p>
        </w:tc>
        <w:tc>
          <w:tcPr>
            <w:tcW w:type="dxa" w:w="1872"/>
            <w:shd w:val="clear" w:color="auto" w:fill="FFFFFF"/>
          </w:tcPr>
          <w:p>
            <w:pPr>
              <w:jc w:val="left"/>
            </w:pPr>
            <w:r/>
            <w:r>
              <w:rPr>
                <w:sz w:val="17"/>
              </w:rPr>
              <w:t>Discrete Filter</w:t>
            </w:r>
          </w:p>
        </w:tc>
        <w:tc>
          <w:tcPr>
            <w:tcW w:type="dxa" w:w="1872"/>
            <w:shd w:val="clear" w:color="auto" w:fill="FFFFFF"/>
          </w:tcPr>
          <w:p>
            <w:pPr>
              <w:jc w:val="left"/>
            </w:pPr>
            <w:r/>
            <w:r>
              <w:rPr>
                <w:sz w:val="17"/>
              </w:rPr>
              <w:t>Local (filter-group 10)</w:t>
            </w:r>
          </w:p>
        </w:tc>
        <w:tc>
          <w:tcPr>
            <w:tcW w:type="dxa" w:w="1872"/>
            <w:shd w:val="clear" w:color="auto" w:fill="FFFFFF"/>
          </w:tcPr>
          <w:p>
            <w:pPr>
              <w:jc w:val="left"/>
            </w:pPr>
            <w:r/>
            <w:r>
              <w:rPr>
                <w:sz w:val="17"/>
              </w:rPr>
              <w:t>All Categories</w:t>
            </w:r>
          </w:p>
        </w:tc>
        <w:tc>
          <w:tcPr>
            <w:tcW w:type="dxa" w:w="1872"/>
            <w:shd w:val="clear" w:color="auto" w:fill="FFFFFF"/>
          </w:tcPr>
          <w:p>
            <w:pPr>
              <w:jc w:val="left"/>
            </w:pPr>
            <w:r/>
            <w:r>
              <w:rPr>
                <w:sz w:val="17"/>
              </w:rPr>
              <w:t>Filters all customer views by product category.</w:t>
            </w:r>
          </w:p>
        </w:tc>
      </w:tr>
    </w:tbl>
    <w:p/>
    <w:p>
      <w:pPr>
        <w:pStyle w:val="Heading3"/>
      </w:pPr>
      <w:r>
        <w:t>5.3.2 Visualizations</w:t>
      </w:r>
    </w:p>
    <w:p>
      <w:pPr/>
      <w:r>
        <w:rPr>
          <w:b/>
          <w:color w:val="1F4995"/>
          <w:sz w:val="21"/>
        </w:rPr>
        <w:t>CustomerOverview (Regional KPI Summary)</w:t>
      </w:r>
    </w:p>
    <w:p>
      <w:pPr/>
      <w:r>
        <w:rPr>
          <w:b/>
          <w:sz w:val="20"/>
        </w:rPr>
        <w:t xml:space="preserve">Purpose: </w:t>
      </w:r>
      <w:r>
        <w:rPr>
          <w:sz w:val="20"/>
        </w:rPr>
        <w:t>A multi-measure KPI summary table organized by region, showing six key performance metrics side by side. Color-encoding on the Profit and Profit Ratio columns immediately highlights negative-profitability regions.</w:t>
      </w:r>
    </w:p>
    <w:p>
      <w:pPr/>
      <w:r>
        <w:rPr>
          <w:b/>
          <w:sz w:val="20"/>
        </w:rPr>
        <w:t xml:space="preserve">Filters Applied: </w:t>
      </w:r>
      <w:r>
        <w:rPr>
          <w:sz w:val="20"/>
        </w:rPr>
        <w:t>Year, Quarter, Segment, Category, Region, Order Date range.</w:t>
      </w:r>
    </w:p>
    <w:p>
      <w:pPr/>
      <w:r>
        <w:rPr>
          <w:b/>
          <w:sz w:val="20"/>
        </w:rPr>
        <w:t xml:space="preserve">Fields Used: </w:t>
      </w:r>
      <w:r>
        <w:rPr>
          <w:sz w:val="20"/>
        </w:rPr>
        <w:t>Rows: Region (sorted descending by customer count). Columns: Count of Customers, SUM(Sales), SUM(Quantity), Sales per Customer, SUM(Profit), Profit Ratio. Profit and Profit Ratio use a red-to-blue diverging color scale centered at zero.</w:t>
      </w:r>
    </w:p>
    <w:p>
      <w:pPr/>
      <w:r>
        <w:rPr>
          <w:b/>
          <w:sz w:val="20"/>
        </w:rPr>
        <w:t xml:space="preserve">Calculation Logic: </w:t>
      </w:r>
      <w:r>
        <w:rPr>
          <w:sz w:val="20"/>
        </w:rPr>
        <w:t>Each row aggregates all orders in a given region for the current filter context. Sales per Customer is the sum of all sales divided by the distinct count of customers in that region (see Section 6 for the formula). Profit Ratio is the sum of Profit divided by the sum of Sales (see Section 6). The diverging color scale immediately flags any region with negative profitability in red. Clicking a region row triggers the "Filter Region" action filter, which passes the selected region to CustomerRank and CustomerScatter, narrowing those views to only the customers in that region.</w:t>
      </w:r>
    </w:p>
    <w:p/>
    <w:p>
      <w:pPr/>
      <w:r>
        <w:rPr>
          <w:b/>
          <w:color w:val="1F4995"/>
          <w:sz w:val="21"/>
        </w:rPr>
        <w:t>CustomerRank (Customer Sales Ranking)</w:t>
      </w:r>
    </w:p>
    <w:p>
      <w:pPr/>
      <w:r>
        <w:rPr>
          <w:b/>
          <w:sz w:val="20"/>
        </w:rPr>
        <w:t xml:space="preserve">Purpose: </w:t>
      </w:r>
      <w:r>
        <w:rPr>
          <w:sz w:val="20"/>
        </w:rPr>
        <w:t>A horizontal bar chart ranking all customers from highest to lowest total sales. Bar color encodes profit ratio, enabling simultaneous identification of top revenue generators and their margin quality.</w:t>
      </w:r>
    </w:p>
    <w:p>
      <w:pPr/>
      <w:r>
        <w:rPr>
          <w:b/>
          <w:sz w:val="20"/>
        </w:rPr>
        <w:t xml:space="preserve">Filters Applied: </w:t>
      </w:r>
      <w:r>
        <w:rPr>
          <w:sz w:val="20"/>
        </w:rPr>
        <w:t>Region (from CustomerOverview action filter), Year, Segment, Category, Order Date range.</w:t>
      </w:r>
    </w:p>
    <w:p>
      <w:pPr/>
      <w:r>
        <w:rPr>
          <w:b/>
          <w:sz w:val="20"/>
        </w:rPr>
        <w:t xml:space="preserve">Fields Used: </w:t>
      </w:r>
      <w:r>
        <w:rPr>
          <w:sz w:val="20"/>
        </w:rPr>
        <w:t>Customer Name (rows, sorted descending by sales), SUM(Sales) (bar length), Profit Ratio (color — red-to-black gradient). Tooltip: Sales Rank, SUM(Profit).</w:t>
      </w:r>
    </w:p>
    <w:p>
      <w:pPr/>
      <w:r>
        <w:rPr>
          <w:b/>
          <w:sz w:val="20"/>
        </w:rPr>
        <w:t xml:space="preserve">Calculation Logic: </w:t>
      </w:r>
      <w:r>
        <w:rPr>
          <w:sz w:val="20"/>
        </w:rPr>
        <w:t>Each horizontal bar represents one customer's total sales aggregated across all their orders within the current filter context. Bars are ranked in descending order of total sales so the highest-revenue customer appears at the top. The color gradient maps profit ratio: warm red tones indicate low or negative margins while dark/black indicates strong profitability. A Sales Rank table calculation is computed in descending competitive-style ranking (ties share the same rank number).</w:t>
      </w:r>
    </w:p>
    <w:p/>
    <w:p>
      <w:pPr/>
      <w:r>
        <w:rPr>
          <w:b/>
          <w:color w:val="1F4995"/>
          <w:sz w:val="21"/>
        </w:rPr>
        <w:t>CustomerScatter (Sales vs. Profit by Customer)</w:t>
      </w:r>
    </w:p>
    <w:p>
      <w:pPr/>
      <w:r>
        <w:rPr>
          <w:b/>
          <w:sz w:val="20"/>
        </w:rPr>
        <w:t xml:space="preserve">Purpose: </w:t>
      </w:r>
      <w:r>
        <w:rPr>
          <w:sz w:val="20"/>
        </w:rPr>
        <w:t>A scatter plot with one mark per customer, positioned by their total sales on the x-axis and total profit on the y-axis. Enables rapid identification of high-value, high-profit customers versus high-revenue but unprofitable accounts.</w:t>
      </w:r>
    </w:p>
    <w:p>
      <w:pPr/>
      <w:r>
        <w:rPr>
          <w:b/>
          <w:sz w:val="20"/>
        </w:rPr>
        <w:t xml:space="preserve">Filters Applied: </w:t>
      </w:r>
      <w:r>
        <w:rPr>
          <w:sz w:val="20"/>
        </w:rPr>
        <w:t>Region (from CustomerOverview action filter), Year, Segment, Category, Order Date range.</w:t>
      </w:r>
    </w:p>
    <w:p>
      <w:pPr/>
      <w:r>
        <w:rPr>
          <w:b/>
          <w:sz w:val="20"/>
        </w:rPr>
        <w:t xml:space="preserve">Fields Used: </w:t>
      </w:r>
      <w:r>
        <w:rPr>
          <w:sz w:val="20"/>
        </w:rPr>
        <w:t>SUM(Sales) (x-axis), SUM(Profit) (y-axis), Customer Name (detail/tooltip), Profit Ratio (color). A linear trend line is overlaid.</w:t>
      </w:r>
    </w:p>
    <w:p>
      <w:pPr/>
      <w:r>
        <w:rPr>
          <w:b/>
          <w:sz w:val="20"/>
        </w:rPr>
        <w:t xml:space="preserve">Calculation Logic: </w:t>
      </w:r>
      <w:r>
        <w:rPr>
          <w:sz w:val="20"/>
        </w:rPr>
        <w:t>Each circle represents one customer aggregated across all their orders in the filtered period. The quadrant positioning reveals customer quality: the top-right quadrant is ideal (high sales and high profit) while the bottom-right quadrant flags customers who generate significant revenue but are unprofitable. The dashed linear trend line shows the overall sales-to-profit relationship across the customer base. Profit Ratio is a calculated field (see Section 6) whose color encoding reinforces margin quality independently of axis position.</w:t>
      </w:r>
    </w:p>
    <w:p/>
    <w:p>
      <w:r>
        <w:br w:type="page"/>
      </w:r>
    </w:p>
    <w:p>
      <w:pPr>
        <w:pStyle w:val="Heading2"/>
      </w:pPr>
      <w:r>
        <w:t>5.4 Shipping Dashboard</w:t>
      </w:r>
    </w:p>
    <w:p>
      <w:pPr/>
      <w:r>
        <w:rPr>
          <w:sz w:val="20"/>
        </w:rPr>
        <w:t>The Shipping dashboard analyzes order fulfillment timeliness by comparing actual shipping days to the expected delivery window for each Ship Mode. A time-series trend chart summarizes weekly shipment status distributions. A KPI summary table provides aggregate metrics. A Gantt-style dot chart enables drill-down to individual order-product records. Action filters link the trend and summary views to the detail chart.</w:t>
      </w:r>
    </w:p>
    <w:p/>
    <w:p>
      <w:pPr>
        <w:pStyle w:val="Heading3"/>
      </w:pPr>
      <w:r>
        <w:t>5.4.1 Parameters / Filters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F4995"/>
          </w:tcPr>
          <w:p>
            <w:pPr>
              <w:jc w:val="center"/>
            </w:pPr>
            <w:r/>
            <w:r>
              <w:rPr>
                <w:b/>
                <w:color w:val="FFFFFF"/>
                <w:sz w:val="18"/>
              </w:rPr>
              <w:t>Name</w:t>
            </w:r>
          </w:p>
        </w:tc>
        <w:tc>
          <w:tcPr>
            <w:tcW w:type="dxa" w:w="1872"/>
            <w:shd w:val="clear" w:color="auto" w:fill="1F4995"/>
          </w:tcPr>
          <w:p>
            <w:pPr>
              <w:jc w:val="center"/>
            </w:pPr>
            <w:r/>
            <w:r>
              <w:rPr>
                <w:b/>
                <w:color w:val="FFFFFF"/>
                <w:sz w:val="18"/>
              </w:rPr>
              <w:t>Type</w:t>
            </w:r>
          </w:p>
        </w:tc>
        <w:tc>
          <w:tcPr>
            <w:tcW w:type="dxa" w:w="1872"/>
            <w:shd w:val="clear" w:color="auto" w:fill="1F4995"/>
          </w:tcPr>
          <w:p>
            <w:pPr>
              <w:jc w:val="center"/>
            </w:pPr>
            <w:r/>
            <w:r>
              <w:rPr>
                <w:b/>
                <w:color w:val="FFFFFF"/>
                <w:sz w:val="18"/>
              </w:rPr>
              <w:t>Global/Local</w:t>
            </w:r>
          </w:p>
        </w:tc>
        <w:tc>
          <w:tcPr>
            <w:tcW w:type="dxa" w:w="1872"/>
            <w:shd w:val="clear" w:color="auto" w:fill="1F4995"/>
          </w:tcPr>
          <w:p>
            <w:pPr>
              <w:jc w:val="center"/>
            </w:pPr>
            <w:r/>
            <w:r>
              <w:rPr>
                <w:b/>
                <w:color w:val="FFFFFF"/>
                <w:sz w:val="18"/>
              </w:rPr>
              <w:t>Default</w:t>
            </w:r>
          </w:p>
        </w:tc>
        <w:tc>
          <w:tcPr>
            <w:tcW w:type="dxa" w:w="1872"/>
            <w:shd w:val="clear" w:color="auto" w:fill="1F4995"/>
          </w:tcPr>
          <w:p>
            <w:pPr>
              <w:jc w:val="center"/>
            </w:pPr>
            <w:r/>
            <w:r>
              <w:rPr>
                <w:b/>
                <w:color w:val="FFFFFF"/>
                <w:sz w:val="18"/>
              </w:rPr>
              <w:t>Notes</w:t>
            </w:r>
          </w:p>
        </w:tc>
      </w:tr>
      <w:tr>
        <w:tc>
          <w:tcPr>
            <w:tcW w:type="dxa" w:w="1872"/>
            <w:shd w:val="clear" w:color="auto" w:fill="F2F2F2"/>
          </w:tcPr>
          <w:p>
            <w:pPr>
              <w:jc w:val="left"/>
            </w:pPr>
            <w:r/>
            <w:r>
              <w:rPr>
                <w:sz w:val="17"/>
              </w:rPr>
              <w:t>Year</w:t>
            </w:r>
          </w:p>
        </w:tc>
        <w:tc>
          <w:tcPr>
            <w:tcW w:type="dxa" w:w="1872"/>
            <w:shd w:val="clear" w:color="auto" w:fill="F2F2F2"/>
          </w:tcPr>
          <w:p>
            <w:pPr>
              <w:jc w:val="left"/>
            </w:pPr>
            <w:r/>
            <w:r>
              <w:rPr>
                <w:sz w:val="17"/>
              </w:rPr>
              <w:t>Discrete Filter</w:t>
            </w:r>
          </w:p>
        </w:tc>
        <w:tc>
          <w:tcPr>
            <w:tcW w:type="dxa" w:w="1872"/>
            <w:shd w:val="clear" w:color="auto" w:fill="F2F2F2"/>
          </w:tcPr>
          <w:p>
            <w:pPr>
              <w:jc w:val="left"/>
            </w:pPr>
            <w:r/>
            <w:r>
              <w:rPr>
                <w:sz w:val="17"/>
              </w:rPr>
              <w:t>Local (filter-group 18)</w:t>
            </w:r>
          </w:p>
        </w:tc>
        <w:tc>
          <w:tcPr>
            <w:tcW w:type="dxa" w:w="1872"/>
            <w:shd w:val="clear" w:color="auto" w:fill="F2F2F2"/>
          </w:tcPr>
          <w:p>
            <w:pPr>
              <w:jc w:val="left"/>
            </w:pPr>
            <w:r/>
            <w:r>
              <w:rPr>
                <w:sz w:val="17"/>
              </w:rPr>
              <w:t>2025</w:t>
            </w:r>
          </w:p>
        </w:tc>
        <w:tc>
          <w:tcPr>
            <w:tcW w:type="dxa" w:w="1872"/>
            <w:shd w:val="clear" w:color="auto" w:fill="F2F2F2"/>
          </w:tcPr>
          <w:p>
            <w:pPr>
              <w:jc w:val="left"/>
            </w:pPr>
            <w:r/>
            <w:r>
              <w:rPr>
                <w:sz w:val="17"/>
              </w:rPr>
              <w:t>Defaults to the most recent full year.</w:t>
            </w:r>
          </w:p>
        </w:tc>
      </w:tr>
      <w:tr>
        <w:tc>
          <w:tcPr>
            <w:tcW w:type="dxa" w:w="1872"/>
            <w:shd w:val="clear" w:color="auto" w:fill="FFFFFF"/>
          </w:tcPr>
          <w:p>
            <w:pPr>
              <w:jc w:val="left"/>
            </w:pPr>
            <w:r/>
            <w:r>
              <w:rPr>
                <w:sz w:val="17"/>
              </w:rPr>
              <w:t>Quarter</w:t>
            </w:r>
          </w:p>
        </w:tc>
        <w:tc>
          <w:tcPr>
            <w:tcW w:type="dxa" w:w="1872"/>
            <w:shd w:val="clear" w:color="auto" w:fill="FFFFFF"/>
          </w:tcPr>
          <w:p>
            <w:pPr>
              <w:jc w:val="left"/>
            </w:pPr>
            <w:r/>
            <w:r>
              <w:rPr>
                <w:sz w:val="17"/>
              </w:rPr>
              <w:t>Discrete Filter</w:t>
            </w:r>
          </w:p>
        </w:tc>
        <w:tc>
          <w:tcPr>
            <w:tcW w:type="dxa" w:w="1872"/>
            <w:shd w:val="clear" w:color="auto" w:fill="FFFFFF"/>
          </w:tcPr>
          <w:p>
            <w:pPr>
              <w:jc w:val="left"/>
            </w:pPr>
            <w:r/>
            <w:r>
              <w:rPr>
                <w:sz w:val="17"/>
              </w:rPr>
              <w:t>Local (filter-group 3)</w:t>
            </w:r>
          </w:p>
        </w:tc>
        <w:tc>
          <w:tcPr>
            <w:tcW w:type="dxa" w:w="1872"/>
            <w:shd w:val="clear" w:color="auto" w:fill="FFFFFF"/>
          </w:tcPr>
          <w:p>
            <w:pPr>
              <w:jc w:val="left"/>
            </w:pPr>
            <w:r/>
            <w:r>
              <w:rPr>
                <w:sz w:val="17"/>
              </w:rPr>
              <w:t>Q4</w:t>
            </w:r>
          </w:p>
        </w:tc>
        <w:tc>
          <w:tcPr>
            <w:tcW w:type="dxa" w:w="1872"/>
            <w:shd w:val="clear" w:color="auto" w:fill="FFFFFF"/>
          </w:tcPr>
          <w:p>
            <w:pPr>
              <w:jc w:val="left"/>
            </w:pPr>
            <w:r/>
            <w:r>
              <w:rPr>
                <w:sz w:val="17"/>
              </w:rPr>
              <w:t>Defaults to the most recent quarter.</w:t>
            </w:r>
          </w:p>
        </w:tc>
      </w:tr>
      <w:tr>
        <w:tc>
          <w:tcPr>
            <w:tcW w:type="dxa" w:w="1872"/>
            <w:shd w:val="clear" w:color="auto" w:fill="F2F2F2"/>
          </w:tcPr>
          <w:p>
            <w:pPr>
              <w:jc w:val="left"/>
            </w:pPr>
            <w:r/>
            <w:r>
              <w:rPr>
                <w:sz w:val="17"/>
              </w:rPr>
              <w:t>Ship Mode</w:t>
            </w:r>
          </w:p>
        </w:tc>
        <w:tc>
          <w:tcPr>
            <w:tcW w:type="dxa" w:w="1872"/>
            <w:shd w:val="clear" w:color="auto" w:fill="F2F2F2"/>
          </w:tcPr>
          <w:p>
            <w:pPr>
              <w:jc w:val="left"/>
            </w:pPr>
            <w:r/>
            <w:r>
              <w:rPr>
                <w:sz w:val="17"/>
              </w:rPr>
              <w:t>Discrete Filter</w:t>
            </w:r>
          </w:p>
        </w:tc>
        <w:tc>
          <w:tcPr>
            <w:tcW w:type="dxa" w:w="1872"/>
            <w:shd w:val="clear" w:color="auto" w:fill="F2F2F2"/>
          </w:tcPr>
          <w:p>
            <w:pPr>
              <w:jc w:val="left"/>
            </w:pPr>
            <w:r/>
            <w:r>
              <w:rPr>
                <w:sz w:val="17"/>
              </w:rPr>
              <w:t>Local (filter-group 11)</w:t>
            </w:r>
          </w:p>
        </w:tc>
        <w:tc>
          <w:tcPr>
            <w:tcW w:type="dxa" w:w="1872"/>
            <w:shd w:val="clear" w:color="auto" w:fill="F2F2F2"/>
          </w:tcPr>
          <w:p>
            <w:pPr>
              <w:jc w:val="left"/>
            </w:pPr>
            <w:r/>
            <w:r>
              <w:rPr>
                <w:sz w:val="17"/>
              </w:rPr>
              <w:t>All Modes</w:t>
            </w:r>
          </w:p>
        </w:tc>
        <w:tc>
          <w:tcPr>
            <w:tcW w:type="dxa" w:w="1872"/>
            <w:shd w:val="clear" w:color="auto" w:fill="F2F2F2"/>
          </w:tcPr>
          <w:p>
            <w:pPr>
              <w:jc w:val="left"/>
            </w:pPr>
            <w:r/>
            <w:r>
              <w:rPr>
                <w:sz w:val="17"/>
              </w:rPr>
              <w:t>Filter by Same Day, First Class, Second Class, or Standard Class.</w:t>
            </w:r>
          </w:p>
        </w:tc>
      </w:tr>
      <w:tr>
        <w:tc>
          <w:tcPr>
            <w:tcW w:type="dxa" w:w="1872"/>
            <w:shd w:val="clear" w:color="auto" w:fill="FFFFFF"/>
          </w:tcPr>
          <w:p>
            <w:pPr>
              <w:jc w:val="left"/>
            </w:pPr>
            <w:r/>
            <w:r>
              <w:rPr>
                <w:sz w:val="17"/>
              </w:rPr>
              <w:t>Region</w:t>
            </w:r>
          </w:p>
        </w:tc>
        <w:tc>
          <w:tcPr>
            <w:tcW w:type="dxa" w:w="1872"/>
            <w:shd w:val="clear" w:color="auto" w:fill="FFFFFF"/>
          </w:tcPr>
          <w:p>
            <w:pPr>
              <w:jc w:val="left"/>
            </w:pPr>
            <w:r/>
            <w:r>
              <w:rPr>
                <w:sz w:val="17"/>
              </w:rPr>
              <w:t>Discrete Filter</w:t>
            </w:r>
          </w:p>
        </w:tc>
        <w:tc>
          <w:tcPr>
            <w:tcW w:type="dxa" w:w="1872"/>
            <w:shd w:val="clear" w:color="auto" w:fill="FFFFFF"/>
          </w:tcPr>
          <w:p>
            <w:pPr>
              <w:jc w:val="left"/>
            </w:pPr>
            <w:r/>
            <w:r>
              <w:rPr>
                <w:sz w:val="17"/>
              </w:rPr>
              <w:t>Local (filter-group 7)</w:t>
            </w:r>
          </w:p>
        </w:tc>
        <w:tc>
          <w:tcPr>
            <w:tcW w:type="dxa" w:w="1872"/>
            <w:shd w:val="clear" w:color="auto" w:fill="FFFFFF"/>
          </w:tcPr>
          <w:p>
            <w:pPr>
              <w:jc w:val="left"/>
            </w:pPr>
            <w:r/>
            <w:r>
              <w:rPr>
                <w:sz w:val="17"/>
              </w:rPr>
              <w:t>All Regions</w:t>
            </w:r>
          </w:p>
        </w:tc>
        <w:tc>
          <w:tcPr>
            <w:tcW w:type="dxa" w:w="1872"/>
            <w:shd w:val="clear" w:color="auto" w:fill="FFFFFF"/>
          </w:tcPr>
          <w:p>
            <w:pPr>
              <w:jc w:val="left"/>
            </w:pPr>
            <w:r/>
            <w:r>
              <w:rPr>
                <w:sz w:val="17"/>
              </w:rPr>
              <w:t>Filters all shipping views by sales region.</w:t>
            </w:r>
          </w:p>
        </w:tc>
      </w:tr>
      <w:tr>
        <w:tc>
          <w:tcPr>
            <w:tcW w:type="dxa" w:w="1872"/>
            <w:shd w:val="clear" w:color="auto" w:fill="F2F2F2"/>
          </w:tcPr>
          <w:p>
            <w:pPr>
              <w:jc w:val="left"/>
            </w:pPr>
            <w:r/>
            <w:r>
              <w:rPr>
                <w:sz w:val="17"/>
              </w:rPr>
              <w:t>Ship Status</w:t>
            </w:r>
          </w:p>
        </w:tc>
        <w:tc>
          <w:tcPr>
            <w:tcW w:type="dxa" w:w="1872"/>
            <w:shd w:val="clear" w:color="auto" w:fill="F2F2F2"/>
          </w:tcPr>
          <w:p>
            <w:pPr>
              <w:jc w:val="left"/>
            </w:pPr>
            <w:r/>
            <w:r>
              <w:rPr>
                <w:sz w:val="17"/>
              </w:rPr>
              <w:t>Discrete Filter</w:t>
            </w:r>
          </w:p>
        </w:tc>
        <w:tc>
          <w:tcPr>
            <w:tcW w:type="dxa" w:w="1872"/>
            <w:shd w:val="clear" w:color="auto" w:fill="F2F2F2"/>
          </w:tcPr>
          <w:p>
            <w:pPr>
              <w:jc w:val="left"/>
            </w:pPr>
            <w:r/>
            <w:r>
              <w:rPr>
                <w:sz w:val="17"/>
              </w:rPr>
              <w:t>Local (filter-group 5)</w:t>
            </w:r>
          </w:p>
        </w:tc>
        <w:tc>
          <w:tcPr>
            <w:tcW w:type="dxa" w:w="1872"/>
            <w:shd w:val="clear" w:color="auto" w:fill="F2F2F2"/>
          </w:tcPr>
          <w:p>
            <w:pPr>
              <w:jc w:val="left"/>
            </w:pPr>
            <w:r/>
            <w:r>
              <w:rPr>
                <w:sz w:val="17"/>
              </w:rPr>
              <w:t>All Statuses</w:t>
            </w:r>
          </w:p>
        </w:tc>
        <w:tc>
          <w:tcPr>
            <w:tcW w:type="dxa" w:w="1872"/>
            <w:shd w:val="clear" w:color="auto" w:fill="F2F2F2"/>
          </w:tcPr>
          <w:p>
            <w:pPr>
              <w:jc w:val="left"/>
            </w:pPr>
            <w:r/>
            <w:r>
              <w:rPr>
                <w:sz w:val="17"/>
              </w:rPr>
              <w:t>Filter by Shipped Early, Shipped On Time, or Shipped Late.</w:t>
            </w:r>
          </w:p>
        </w:tc>
      </w:tr>
    </w:tbl>
    <w:p/>
    <w:p>
      <w:pPr>
        <w:pStyle w:val="Heading3"/>
      </w:pPr>
      <w:r>
        <w:t>5.4.2 Visualizations</w:t>
      </w:r>
    </w:p>
    <w:p>
      <w:pPr/>
      <w:r>
        <w:rPr>
          <w:b/>
          <w:color w:val="1F4995"/>
          <w:sz w:val="21"/>
        </w:rPr>
        <w:t>ShippingTrend (Shipment Status Over Time)</w:t>
      </w:r>
    </w:p>
    <w:p>
      <w:pPr/>
      <w:r>
        <w:rPr>
          <w:b/>
          <w:sz w:val="20"/>
        </w:rPr>
        <w:t xml:space="preserve">Purpose: </w:t>
      </w:r>
      <w:r>
        <w:rPr>
          <w:sz w:val="20"/>
        </w:rPr>
        <w:t>A time-series chart showing the weekly distribution of shipment statuses — Shipped Early, Shipped On Time, and Shipped Late. Identifies trends in fulfillment performance and highlights weeks with elevated late shipment rates.</w:t>
      </w:r>
    </w:p>
    <w:p>
      <w:pPr/>
      <w:r>
        <w:rPr>
          <w:b/>
          <w:sz w:val="20"/>
        </w:rPr>
        <w:t xml:space="preserve">Filters Applied: </w:t>
      </w:r>
      <w:r>
        <w:rPr>
          <w:sz w:val="20"/>
        </w:rPr>
        <w:t>Year, Quarter, Region, Ship Mode, Ship Status.</w:t>
      </w:r>
    </w:p>
    <w:p>
      <w:pPr/>
      <w:r>
        <w:rPr>
          <w:b/>
          <w:sz w:val="20"/>
        </w:rPr>
        <w:t xml:space="preserve">Fields Used: </w:t>
      </w:r>
      <w:r>
        <w:rPr>
          <w:sz w:val="20"/>
        </w:rPr>
        <w:t>Week of Order Date (columns), count of records (rows), Ship Status (color: blue = Shipped Early, brown = Shipped Late, gray = Shipped On Time).</w:t>
      </w:r>
    </w:p>
    <w:p>
      <w:pPr/>
      <w:r>
        <w:rPr>
          <w:b/>
          <w:sz w:val="20"/>
        </w:rPr>
        <w:t xml:space="preserve">Calculation Logic: </w:t>
      </w:r>
      <w:r>
        <w:rPr>
          <w:sz w:val="20"/>
        </w:rPr>
        <w:t>Each mark represents the count of order-product records in a given week grouped by Ship Status. Ship Status is a calculated field that compares Days to Ship Actual against Days to Ship Scheduled: if actual days exceed scheduled days the order is labeled "Shipped Late"; if equal, "Shipped On Time"; if fewer, "Shipped Early". Both Days to Ship Actual and Days to Ship Scheduled are themselves calculated fields (see Section 6). Selecting a week in this chart triggers the "Filter Details" action filter, which narrows the DaystoShip detail chart to only that week's individual order records.</w:t>
      </w:r>
    </w:p>
    <w:p/>
    <w:p>
      <w:pPr/>
      <w:r>
        <w:rPr>
          <w:b/>
          <w:color w:val="1F4995"/>
          <w:sz w:val="21"/>
        </w:rPr>
        <w:t>ShipSummary (Aggregate Shipping KPIs)</w:t>
      </w:r>
    </w:p>
    <w:p>
      <w:pPr/>
      <w:r>
        <w:rPr>
          <w:b/>
          <w:sz w:val="20"/>
        </w:rPr>
        <w:t xml:space="preserve">Purpose: </w:t>
      </w:r>
      <w:r>
        <w:rPr>
          <w:sz w:val="20"/>
        </w:rPr>
        <w:t>A summary KPI table providing aggregate shipping performance metrics across all orders matching the current filter state. Gives a quick headline view of overall fulfillment efficiency.</w:t>
      </w:r>
    </w:p>
    <w:p>
      <w:pPr/>
      <w:r>
        <w:rPr>
          <w:b/>
          <w:sz w:val="20"/>
        </w:rPr>
        <w:t xml:space="preserve">Filters Applied: </w:t>
      </w:r>
      <w:r>
        <w:rPr>
          <w:sz w:val="20"/>
        </w:rPr>
        <w:t>Year, Quarter, Region, Ship Mode, Ship Status (same filter groups as ShippingTrend).</w:t>
      </w:r>
    </w:p>
    <w:p>
      <w:pPr/>
      <w:r>
        <w:rPr>
          <w:b/>
          <w:sz w:val="20"/>
        </w:rPr>
        <w:t xml:space="preserve">Fields Used: </w:t>
      </w:r>
      <w:r>
        <w:rPr>
          <w:sz w:val="20"/>
        </w:rPr>
        <w:t>Measures: total Days to Ship Actual (summed), total Days to Ship Scheduled (summed), count of orders by Ship Status.</w:t>
      </w:r>
    </w:p>
    <w:p>
      <w:pPr/>
      <w:r>
        <w:rPr>
          <w:b/>
          <w:sz w:val="20"/>
        </w:rPr>
        <w:t xml:space="preserve">Calculation Logic: </w:t>
      </w:r>
      <w:r>
        <w:rPr>
          <w:sz w:val="20"/>
        </w:rPr>
        <w:t>This view aggregates all shipping-related metrics for the filtered dataset. Days to Ship Actual is the total calendar days elapsed between Order Date and Ship Date, summed across all filtered orders. Days to Ship Scheduled is the expected shipping window per order based on Ship Mode. Selecting a row in ShipSummary triggers an action filter that updates the DaystoShip detail chart to reflect the selected metric slice. See Section 6 for the raw formulas of Days to Ship Actual, Days to Ship Scheduled, and Ship Status.</w:t>
      </w:r>
    </w:p>
    <w:p/>
    <w:p>
      <w:pPr/>
      <w:r>
        <w:rPr>
          <w:b/>
          <w:color w:val="1F4995"/>
          <w:sz w:val="21"/>
        </w:rPr>
        <w:t>DaystoShip (Order-Level Shipping Detail)</w:t>
      </w:r>
    </w:p>
    <w:p>
      <w:pPr/>
      <w:r>
        <w:rPr>
          <w:b/>
          <w:sz w:val="20"/>
        </w:rPr>
        <w:t xml:space="preserve">Purpose: </w:t>
      </w:r>
      <w:r>
        <w:rPr>
          <w:sz w:val="20"/>
        </w:rPr>
        <w:t>A Gantt-style dot chart plotting individual order-product line items on a timeline, showing the order date and how many days elapsed before shipment. Dot size encodes Days to Ship Actual and color encodes Ship Status, making it immediately apparent which products have chronic shipping delays.</w:t>
      </w:r>
    </w:p>
    <w:p>
      <w:pPr/>
      <w:r>
        <w:rPr>
          <w:b/>
          <w:sz w:val="20"/>
        </w:rPr>
        <w:t xml:space="preserve">Filters Applied: </w:t>
      </w:r>
      <w:r>
        <w:rPr>
          <w:sz w:val="20"/>
        </w:rPr>
        <w:t>Year (default 2025), Quarter (default Q4), Ship Mode, Region, Ship Status, action filters from ShippingTrend and ShipSummary.</w:t>
      </w:r>
    </w:p>
    <w:p>
      <w:pPr/>
      <w:r>
        <w:rPr>
          <w:b/>
          <w:sz w:val="20"/>
        </w:rPr>
        <w:t xml:space="preserve">Fields Used: </w:t>
      </w:r>
      <w:r>
        <w:rPr>
          <w:sz w:val="20"/>
        </w:rPr>
        <w:t>Product Name (rows, sorted descending by days to ship), Order Date (columns / continuous date axis), Ship Status (color), Days to Ship Actual (mark size). Tooltip: Order ID, Customer Name, Ship Mode.</w:t>
      </w:r>
    </w:p>
    <w:p>
      <w:pPr/>
      <w:r>
        <w:rPr>
          <w:b/>
          <w:sz w:val="20"/>
        </w:rPr>
        <w:t xml:space="preserve">Calculation Logic: </w:t>
      </w:r>
      <w:r>
        <w:rPr>
          <w:sz w:val="20"/>
        </w:rPr>
        <w:t>Each dot represents one row in the Orders table — a single product on a single order. The dot's horizontal position is the Order Date; its size reflects the number of calendar days that elapsed before the item was shipped (Days to Ship Actual, computed via DATEDIFF). Color immediately flags late shipments in brown. The chart renders at the individual row level so analysts can identify specific orders or products that appear repeatedly with large dot sizes or brown coloring, indicating chronic delays. See Section 6 for the full formulas of Days to Ship Actual, Days to Ship Scheduled, and Ship Status.</w:t>
      </w:r>
    </w:p>
    <w:p/>
    <w:p>
      <w:r>
        <w:br w:type="page"/>
      </w:r>
    </w:p>
    <w:p>
      <w:pPr>
        <w:pStyle w:val="Heading2"/>
      </w:pPr>
      <w:r>
        <w:t>5.5 Commission Model Dashboard</w:t>
      </w:r>
    </w:p>
    <w:p>
      <w:pPr/>
      <w:r>
        <w:rPr>
          <w:sz w:val="20"/>
        </w:rPr>
        <w:t>The Commission Model dashboard is a forward-looking what-if planning tool for sales compensation design. By adjusting three parameters (Base Salary, Commission Rate, and New Quota), a sales manager can immediately see how total projected compensation would change for each sales rep, which reps fall into each quota attainment tier, and what the resulting aggregate payroll cost (OTE) would be. All three views update instantly in response to parameter changes — no additional filters or slicers are required.</w:t>
      </w:r>
    </w:p>
    <w:p/>
    <w:p>
      <w:pPr>
        <w:pStyle w:val="Heading3"/>
      </w:pPr>
      <w:r>
        <w:t>5.5.1 Parameters / Filters</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872"/>
            <w:shd w:val="clear" w:color="auto" w:fill="1F4995"/>
          </w:tcPr>
          <w:p>
            <w:pPr>
              <w:jc w:val="center"/>
            </w:pPr>
            <w:r/>
            <w:r>
              <w:rPr>
                <w:b/>
                <w:color w:val="FFFFFF"/>
                <w:sz w:val="18"/>
              </w:rPr>
              <w:t>Name</w:t>
            </w:r>
          </w:p>
        </w:tc>
        <w:tc>
          <w:tcPr>
            <w:tcW w:type="dxa" w:w="1872"/>
            <w:shd w:val="clear" w:color="auto" w:fill="1F4995"/>
          </w:tcPr>
          <w:p>
            <w:pPr>
              <w:jc w:val="center"/>
            </w:pPr>
            <w:r/>
            <w:r>
              <w:rPr>
                <w:b/>
                <w:color w:val="FFFFFF"/>
                <w:sz w:val="18"/>
              </w:rPr>
              <w:t>Type</w:t>
            </w:r>
          </w:p>
        </w:tc>
        <w:tc>
          <w:tcPr>
            <w:tcW w:type="dxa" w:w="1872"/>
            <w:shd w:val="clear" w:color="auto" w:fill="1F4995"/>
          </w:tcPr>
          <w:p>
            <w:pPr>
              <w:jc w:val="center"/>
            </w:pPr>
            <w:r/>
            <w:r>
              <w:rPr>
                <w:b/>
                <w:color w:val="FFFFFF"/>
                <w:sz w:val="18"/>
              </w:rPr>
              <w:t>Global/Local</w:t>
            </w:r>
          </w:p>
        </w:tc>
        <w:tc>
          <w:tcPr>
            <w:tcW w:type="dxa" w:w="1872"/>
            <w:shd w:val="clear" w:color="auto" w:fill="1F4995"/>
          </w:tcPr>
          <w:p>
            <w:pPr>
              <w:jc w:val="center"/>
            </w:pPr>
            <w:r/>
            <w:r>
              <w:rPr>
                <w:b/>
                <w:color w:val="FFFFFF"/>
                <w:sz w:val="18"/>
              </w:rPr>
              <w:t>Default</w:t>
            </w:r>
          </w:p>
        </w:tc>
        <w:tc>
          <w:tcPr>
            <w:tcW w:type="dxa" w:w="1872"/>
            <w:shd w:val="clear" w:color="auto" w:fill="1F4995"/>
          </w:tcPr>
          <w:p>
            <w:pPr>
              <w:jc w:val="center"/>
            </w:pPr>
            <w:r/>
            <w:r>
              <w:rPr>
                <w:b/>
                <w:color w:val="FFFFFF"/>
                <w:sz w:val="18"/>
              </w:rPr>
              <w:t>Notes</w:t>
            </w:r>
          </w:p>
        </w:tc>
      </w:tr>
      <w:tr>
        <w:tc>
          <w:tcPr>
            <w:tcW w:type="dxa" w:w="1872"/>
            <w:shd w:val="clear" w:color="auto" w:fill="F2F2F2"/>
          </w:tcPr>
          <w:p>
            <w:pPr>
              <w:jc w:val="left"/>
            </w:pPr>
            <w:r/>
            <w:r>
              <w:rPr>
                <w:sz w:val="17"/>
              </w:rPr>
              <w:t>Base Salary</w:t>
            </w:r>
          </w:p>
        </w:tc>
        <w:tc>
          <w:tcPr>
            <w:tcW w:type="dxa" w:w="1872"/>
            <w:shd w:val="clear" w:color="auto" w:fill="F2F2F2"/>
          </w:tcPr>
          <w:p>
            <w:pPr>
              <w:jc w:val="left"/>
            </w:pPr>
            <w:r/>
            <w:r>
              <w:rPr>
                <w:sz w:val="17"/>
              </w:rPr>
              <w:t>Parameter (Integer)</w:t>
            </w:r>
          </w:p>
        </w:tc>
        <w:tc>
          <w:tcPr>
            <w:tcW w:type="dxa" w:w="1872"/>
            <w:shd w:val="clear" w:color="auto" w:fill="F2F2F2"/>
          </w:tcPr>
          <w:p>
            <w:pPr>
              <w:jc w:val="left"/>
            </w:pPr>
            <w:r/>
            <w:r>
              <w:rPr>
                <w:sz w:val="17"/>
              </w:rPr>
              <w:t>Global</w:t>
            </w:r>
          </w:p>
        </w:tc>
        <w:tc>
          <w:tcPr>
            <w:tcW w:type="dxa" w:w="1872"/>
            <w:shd w:val="clear" w:color="auto" w:fill="F2F2F2"/>
          </w:tcPr>
          <w:p>
            <w:pPr>
              <w:jc w:val="left"/>
            </w:pPr>
            <w:r/>
            <w:r>
              <w:rPr>
                <w:sz w:val="17"/>
              </w:rPr>
              <w:t>$50,000</w:t>
            </w:r>
          </w:p>
        </w:tc>
        <w:tc>
          <w:tcPr>
            <w:tcW w:type="dxa" w:w="1872"/>
            <w:shd w:val="clear" w:color="auto" w:fill="F2F2F2"/>
          </w:tcPr>
          <w:p>
            <w:pPr>
              <w:jc w:val="left"/>
            </w:pPr>
            <w:r/>
            <w:r>
              <w:rPr>
                <w:sz w:val="17"/>
              </w:rPr>
              <w:t>Adjustable via slider; drives Base (Variable) and OTE (Variable).</w:t>
            </w:r>
          </w:p>
        </w:tc>
      </w:tr>
      <w:tr>
        <w:tc>
          <w:tcPr>
            <w:tcW w:type="dxa" w:w="1872"/>
            <w:shd w:val="clear" w:color="auto" w:fill="FFFFFF"/>
          </w:tcPr>
          <w:p>
            <w:pPr>
              <w:jc w:val="left"/>
            </w:pPr>
            <w:r/>
            <w:r>
              <w:rPr>
                <w:sz w:val="17"/>
              </w:rPr>
              <w:t>Commission Rate</w:t>
            </w:r>
          </w:p>
        </w:tc>
        <w:tc>
          <w:tcPr>
            <w:tcW w:type="dxa" w:w="1872"/>
            <w:shd w:val="clear" w:color="auto" w:fill="FFFFFF"/>
          </w:tcPr>
          <w:p>
            <w:pPr>
              <w:jc w:val="left"/>
            </w:pPr>
            <w:r/>
            <w:r>
              <w:rPr>
                <w:sz w:val="17"/>
              </w:rPr>
              <w:t>Parameter (Decimal)</w:t>
            </w:r>
          </w:p>
        </w:tc>
        <w:tc>
          <w:tcPr>
            <w:tcW w:type="dxa" w:w="1872"/>
            <w:shd w:val="clear" w:color="auto" w:fill="FFFFFF"/>
          </w:tcPr>
          <w:p>
            <w:pPr>
              <w:jc w:val="left"/>
            </w:pPr>
            <w:r/>
            <w:r>
              <w:rPr>
                <w:sz w:val="17"/>
              </w:rPr>
              <w:t>Global</w:t>
            </w:r>
          </w:p>
        </w:tc>
        <w:tc>
          <w:tcPr>
            <w:tcW w:type="dxa" w:w="1872"/>
            <w:shd w:val="clear" w:color="auto" w:fill="FFFFFF"/>
          </w:tcPr>
          <w:p>
            <w:pPr>
              <w:jc w:val="left"/>
            </w:pPr>
            <w:r/>
            <w:r>
              <w:rPr>
                <w:sz w:val="17"/>
              </w:rPr>
              <w:t>18.4%</w:t>
            </w:r>
          </w:p>
        </w:tc>
        <w:tc>
          <w:tcPr>
            <w:tcW w:type="dxa" w:w="1872"/>
            <w:shd w:val="clear" w:color="auto" w:fill="FFFFFF"/>
          </w:tcPr>
          <w:p>
            <w:pPr>
              <w:jc w:val="left"/>
            </w:pPr>
            <w:r/>
            <w:r>
              <w:rPr>
                <w:sz w:val="17"/>
              </w:rPr>
              <w:t>Adjustable via slider; drives Commission (Variable) and OTE (Variable).</w:t>
            </w:r>
          </w:p>
        </w:tc>
      </w:tr>
      <w:tr>
        <w:tc>
          <w:tcPr>
            <w:tcW w:type="dxa" w:w="1872"/>
            <w:shd w:val="clear" w:color="auto" w:fill="F2F2F2"/>
          </w:tcPr>
          <w:p>
            <w:pPr>
              <w:jc w:val="left"/>
            </w:pPr>
            <w:r/>
            <w:r>
              <w:rPr>
                <w:sz w:val="17"/>
              </w:rPr>
              <w:t>New Quota</w:t>
            </w:r>
          </w:p>
        </w:tc>
        <w:tc>
          <w:tcPr>
            <w:tcW w:type="dxa" w:w="1872"/>
            <w:shd w:val="clear" w:color="auto" w:fill="F2F2F2"/>
          </w:tcPr>
          <w:p>
            <w:pPr>
              <w:jc w:val="left"/>
            </w:pPr>
            <w:r/>
            <w:r>
              <w:rPr>
                <w:sz w:val="17"/>
              </w:rPr>
              <w:t>Parameter (Integer)</w:t>
            </w:r>
          </w:p>
        </w:tc>
        <w:tc>
          <w:tcPr>
            <w:tcW w:type="dxa" w:w="1872"/>
            <w:shd w:val="clear" w:color="auto" w:fill="F2F2F2"/>
          </w:tcPr>
          <w:p>
            <w:pPr>
              <w:jc w:val="left"/>
            </w:pPr>
            <w:r/>
            <w:r>
              <w:rPr>
                <w:sz w:val="17"/>
              </w:rPr>
              <w:t>Global</w:t>
            </w:r>
          </w:p>
        </w:tc>
        <w:tc>
          <w:tcPr>
            <w:tcW w:type="dxa" w:w="1872"/>
            <w:shd w:val="clear" w:color="auto" w:fill="F2F2F2"/>
          </w:tcPr>
          <w:p>
            <w:pPr>
              <w:jc w:val="left"/>
            </w:pPr>
            <w:r/>
            <w:r>
              <w:rPr>
                <w:sz w:val="17"/>
              </w:rPr>
              <w:t>$500,000</w:t>
            </w:r>
          </w:p>
        </w:tc>
        <w:tc>
          <w:tcPr>
            <w:tcW w:type="dxa" w:w="1872"/>
            <w:shd w:val="clear" w:color="auto" w:fill="F2F2F2"/>
          </w:tcPr>
          <w:p>
            <w:pPr>
              <w:jc w:val="left"/>
            </w:pPr>
            <w:r/>
            <w:r>
              <w:rPr>
                <w:sz w:val="17"/>
              </w:rPr>
              <w:t>Adjustable via slider; drives OTE (Variable), Achieved Quota, and % of Quota Achieved.</w:t>
            </w:r>
          </w:p>
        </w:tc>
      </w:tr>
      <w:tr>
        <w:tc>
          <w:tcPr>
            <w:tcW w:type="dxa" w:w="1872"/>
            <w:shd w:val="clear" w:color="auto" w:fill="FFFFFF"/>
          </w:tcPr>
          <w:p>
            <w:pPr>
              <w:jc w:val="left"/>
            </w:pPr>
            <w:r/>
            <w:r>
              <w:rPr>
                <w:sz w:val="17"/>
              </w:rPr>
              <w:t>Sort by</w:t>
            </w:r>
          </w:p>
        </w:tc>
        <w:tc>
          <w:tcPr>
            <w:tcW w:type="dxa" w:w="1872"/>
            <w:shd w:val="clear" w:color="auto" w:fill="FFFFFF"/>
          </w:tcPr>
          <w:p>
            <w:pPr>
              <w:jc w:val="left"/>
            </w:pPr>
            <w:r/>
            <w:r>
              <w:rPr>
                <w:sz w:val="17"/>
              </w:rPr>
              <w:t>Parameter (String)</w:t>
            </w:r>
          </w:p>
        </w:tc>
        <w:tc>
          <w:tcPr>
            <w:tcW w:type="dxa" w:w="1872"/>
            <w:shd w:val="clear" w:color="auto" w:fill="FFFFFF"/>
          </w:tcPr>
          <w:p>
            <w:pPr>
              <w:jc w:val="left"/>
            </w:pPr>
            <w:r/>
            <w:r>
              <w:rPr>
                <w:sz w:val="17"/>
              </w:rPr>
              <w:t>Global</w:t>
            </w:r>
          </w:p>
        </w:tc>
        <w:tc>
          <w:tcPr>
            <w:tcW w:type="dxa" w:w="1872"/>
            <w:shd w:val="clear" w:color="auto" w:fill="FFFFFF"/>
          </w:tcPr>
          <w:p>
            <w:pPr>
              <w:jc w:val="left"/>
            </w:pPr>
            <w:r/>
            <w:r>
              <w:rPr>
                <w:sz w:val="17"/>
              </w:rPr>
              <w:t>Names</w:t>
            </w:r>
          </w:p>
        </w:tc>
        <w:tc>
          <w:tcPr>
            <w:tcW w:type="dxa" w:w="1872"/>
            <w:shd w:val="clear" w:color="auto" w:fill="FFFFFF"/>
          </w:tcPr>
          <w:p>
            <w:pPr>
              <w:jc w:val="left"/>
            </w:pPr>
            <w:r/>
            <w:r>
              <w:rPr>
                <w:sz w:val="17"/>
              </w:rPr>
              <w:t>Dropdown with three options; drives Sort by field calculated field.</w:t>
            </w:r>
          </w:p>
        </w:tc>
      </w:tr>
    </w:tbl>
    <w:p/>
    <w:p>
      <w:pPr>
        <w:pStyle w:val="Heading3"/>
      </w:pPr>
      <w:r>
        <w:t>5.5.2 Visualizations</w:t>
      </w:r>
    </w:p>
    <w:p>
      <w:pPr/>
      <w:r>
        <w:rPr>
          <w:b/>
          <w:color w:val="1F4995"/>
          <w:sz w:val="21"/>
        </w:rPr>
        <w:t>OTE (Estimated Compensation Summary)</w:t>
      </w:r>
    </w:p>
    <w:p>
      <w:pPr/>
      <w:r>
        <w:rPr>
          <w:b/>
          <w:sz w:val="20"/>
        </w:rPr>
        <w:t xml:space="preserve">Purpose: </w:t>
      </w:r>
      <w:r>
        <w:rPr>
          <w:sz w:val="20"/>
        </w:rPr>
        <w:t>A text/KPI table displaying the total and average On-Target Earnings for the entire sales team under the current parameter assumptions. Provides an immediate read on aggregate payroll impact when parameters are adjusted.</w:t>
      </w:r>
    </w:p>
    <w:p>
      <w:pPr/>
      <w:r>
        <w:rPr>
          <w:b/>
          <w:sz w:val="20"/>
        </w:rPr>
        <w:t xml:space="preserve">Filters Applied: </w:t>
      </w:r>
      <w:r>
        <w:rPr>
          <w:sz w:val="20"/>
        </w:rPr>
        <w:t>None — all views on this dashboard are parameter-driven; there are no user-facing dimension filters.</w:t>
      </w:r>
    </w:p>
    <w:p>
      <w:pPr/>
      <w:r>
        <w:rPr>
          <w:b/>
          <w:sz w:val="20"/>
        </w:rPr>
        <w:t xml:space="preserve">Fields Used: </w:t>
      </w:r>
      <w:r>
        <w:rPr>
          <w:sz w:val="20"/>
        </w:rPr>
        <w:t>OTE (Variable): displayed as SUM (total team payroll cost) and AVG (per-rep average). Formatted in millions and thousands.</w:t>
      </w:r>
    </w:p>
    <w:p>
      <w:pPr/>
      <w:r>
        <w:rPr>
          <w:b/>
          <w:sz w:val="20"/>
        </w:rPr>
        <w:t xml:space="preserve">Calculation Logic: </w:t>
      </w:r>
      <w:r>
        <w:rPr>
          <w:sz w:val="20"/>
        </w:rPr>
        <w:t>OTE per rep is the total compensation a rep would earn if they hit exactly 100% of their quota. It is computed as: Base Salary + (Commission Rate × New Quota) / 100. For example, at the default assumptions, each rep's OTE = $50,000 + (18.4% × $500,000) = $142,000. The table aggregates OTE across all reps to show total team payroll and divides by rep count to show the per-rep average. Both figures update instantly when any of the three compensation parameters are changed. See Section 6 for the raw OTE (Variable) formula.</w:t>
      </w:r>
    </w:p>
    <w:p/>
    <w:p>
      <w:pPr/>
      <w:r>
        <w:rPr>
          <w:b/>
          <w:color w:val="1F4995"/>
          <w:sz w:val="21"/>
        </w:rPr>
        <w:t>CommissionProjection (Compensation Breakdown by Sales Rep)</w:t>
      </w:r>
    </w:p>
    <w:p>
      <w:pPr/>
      <w:r>
        <w:rPr>
          <w:b/>
          <w:sz w:val="20"/>
        </w:rPr>
        <w:t xml:space="preserve">Purpose: </w:t>
      </w:r>
      <w:r>
        <w:rPr>
          <w:sz w:val="20"/>
        </w:rPr>
        <w:t>A stacked horizontal bar chart showing each sales rep's projected total compensation split between their fixed base salary (gray) and variable commission (blue) components. An OTE reference line marks the target compensation level if the rep achieves 100% of their quota.</w:t>
      </w:r>
    </w:p>
    <w:p>
      <w:pPr/>
      <w:r>
        <w:rPr>
          <w:b/>
          <w:sz w:val="20"/>
        </w:rPr>
        <w:t xml:space="preserve">Filters Applied: </w:t>
      </w:r>
      <w:r>
        <w:rPr>
          <w:sz w:val="20"/>
        </w:rPr>
        <w:t>Measure Names filter (restricts the stack to Commission Variable and Base Variable only).</w:t>
      </w:r>
    </w:p>
    <w:p>
      <w:pPr/>
      <w:r>
        <w:rPr>
          <w:b/>
          <w:sz w:val="20"/>
        </w:rPr>
        <w:t xml:space="preserve">Fields Used: </w:t>
      </w:r>
      <w:r>
        <w:rPr>
          <w:sz w:val="20"/>
        </w:rPr>
        <w:t>Sales Person (rows, sorted by Sort by parameter), total compensation dollars (columns), Measure Names (bar color: gray = Base Variable, blue = Commission Variable). Reference line: MAX(OTE Variable) per table. Tooltip: Total Compensation, Total Sales.</w:t>
      </w:r>
    </w:p>
    <w:p>
      <w:pPr/>
      <w:r>
        <w:rPr>
          <w:b/>
          <w:sz w:val="20"/>
        </w:rPr>
        <w:t xml:space="preserve">Calculation Logic: </w:t>
      </w:r>
      <w:r>
        <w:rPr>
          <w:sz w:val="20"/>
        </w:rPr>
        <w:t>Each stacked bar's total length equals the rep's Total Compensation, which is the minimum of Base (Variable) plus the sum of Commission (Variable) across all their sales records. The commission portion equals (Commission Rate × actual Sales) / 100 — it reflects real earnings based on actual sales volume. The gray base portion is a constant equal to the Base Salary parameter. The OTE reference line equals Base Salary + (Commission Rate × New Quota / 100) and is drawn as a vertical line across all bars. A bar shorter than the OTE line means the rep did not achieve quota; a bar at or beyond it indicates at- or above-quota performance. Sort order is controlled by the Sort by field calculated field. See Section 6 for all relevant formulas.</w:t>
      </w:r>
    </w:p>
    <w:p/>
    <w:p>
      <w:pPr/>
      <w:r>
        <w:rPr>
          <w:b/>
          <w:color w:val="1F4995"/>
          <w:sz w:val="21"/>
        </w:rPr>
        <w:t>QuotaAttainment (Quota Attainment Results by Rep)</w:t>
      </w:r>
    </w:p>
    <w:p>
      <w:pPr/>
      <w:r>
        <w:rPr>
          <w:b/>
          <w:sz w:val="20"/>
        </w:rPr>
        <w:t xml:space="preserve">Purpose: </w:t>
      </w:r>
      <w:r>
        <w:rPr>
          <w:sz w:val="20"/>
        </w:rPr>
        <w:t>A horizontal bar chart showing each sales rep's total actual sales versus the New Quota parameter. Bars are color-coded by attainment tier and a reference line marks the quota value. Shaded reference bands at 50%, 75%, and 100% of quota provide additional visual benchmarks.</w:t>
      </w:r>
    </w:p>
    <w:p>
      <w:pPr/>
      <w:r>
        <w:rPr>
          <w:b/>
          <w:sz w:val="20"/>
        </w:rPr>
        <w:t xml:space="preserve">Filters Applied: </w:t>
      </w:r>
      <w:r>
        <w:rPr>
          <w:sz w:val="20"/>
        </w:rPr>
        <w:t>None (parameter-driven only).</w:t>
      </w:r>
    </w:p>
    <w:p>
      <w:pPr/>
      <w:r>
        <w:rPr>
          <w:b/>
          <w:sz w:val="20"/>
        </w:rPr>
        <w:t xml:space="preserve">Fields Used: </w:t>
      </w:r>
      <w:r>
        <w:rPr>
          <w:sz w:val="20"/>
        </w:rPr>
        <w:t>Sales Person (rows, sorted by Sort by parameter), SUM(Achievement/Sales) (bar length), Achieved Quota (bar color — four tiers). Label on bar: % of Quota Achieved. Reference line: New Quota parameter value.</w:t>
      </w:r>
    </w:p>
    <w:p>
      <w:pPr/>
      <w:r>
        <w:rPr>
          <w:b/>
          <w:sz w:val="20"/>
        </w:rPr>
        <w:t xml:space="preserve">Calculation Logic: </w:t>
      </w:r>
      <w:r>
        <w:rPr>
          <w:sz w:val="20"/>
        </w:rPr>
        <w:t>Each bar shows the rep's total actual sales from the Sales Commission data source. The Achieved Quota field classifies each rep into one of four tiers: "100%+" if total sales ≥ New Quota; "75-100%" if ≥ 75% of Quota; "50-75%" if ≥ 50% of Quota; or "Below 50%" otherwise. The label on each bar is the rep's average achievement divided by the New Quota parameter value. The vertical reference line (at New Quota) and four shaded bands reinforce the tier boundaries visually. Changing the New Quota parameter instantly reclassifies all reps and moves the reference line. See Section 6 for the Achieved Quota and % of Quota Achieved formulas.</w:t>
      </w:r>
    </w:p>
    <w:p/>
    <w:p>
      <w:r>
        <w:br w:type="page"/>
      </w:r>
    </w:p>
    <w:p>
      <w:pPr>
        <w:pStyle w:val="Heading1"/>
      </w:pPr>
      <w:r>
        <w:t>6. Calculations Glossary</w:t>
      </w:r>
    </w:p>
    <w:p>
      <w:pPr/>
      <w:r>
        <w:rPr>
          <w:sz w:val="20"/>
        </w:rPr>
        <w:t>All unique calculated fields referenced by the dashboards, listed alphabetically. The "Raw Formula" column contains the formula exactly as written in the workbook XML. For plain-English explanations of how each field is used in context, refer to the relevant visualization description in Section 5.</w:t>
      </w:r>
    </w:p>
    <w:p/>
    <w:tbl>
      <w:tblPr>
        <w:tblStyle w:val="TableGrid"/>
        <w:tblW w:type="auto" w:w="0"/>
        <w:jc w:val="left"/>
        <w:tblLook w:firstColumn="1" w:firstRow="1" w:lastColumn="0" w:lastRow="0" w:noHBand="0" w:noVBand="1" w:val="04A0"/>
      </w:tblPr>
      <w:tblGrid>
        <w:gridCol w:w="2340"/>
        <w:gridCol w:w="2340"/>
        <w:gridCol w:w="2340"/>
        <w:gridCol w:w="2340"/>
      </w:tblGrid>
      <w:tr>
        <w:tc>
          <w:tcPr>
            <w:tcW w:type="dxa" w:w="2232"/>
            <w:shd w:val="clear" w:color="auto" w:fill="1F4995"/>
          </w:tcPr>
          <w:p>
            <w:pPr>
              <w:jc w:val="center"/>
            </w:pPr>
            <w:r/>
            <w:r>
              <w:rPr>
                <w:b/>
                <w:color w:val="FFFFFF"/>
                <w:sz w:val="18"/>
              </w:rPr>
              <w:t>Calculation Name</w:t>
            </w:r>
          </w:p>
        </w:tc>
        <w:tc>
          <w:tcPr>
            <w:tcW w:type="dxa" w:w="1944"/>
            <w:shd w:val="clear" w:color="auto" w:fill="1F4995"/>
          </w:tcPr>
          <w:p>
            <w:pPr>
              <w:jc w:val="center"/>
            </w:pPr>
            <w:r/>
            <w:r>
              <w:rPr>
                <w:b/>
                <w:color w:val="FFFFFF"/>
                <w:sz w:val="18"/>
              </w:rPr>
              <w:t>Data Source</w:t>
            </w:r>
          </w:p>
        </w:tc>
        <w:tc>
          <w:tcPr>
            <w:tcW w:type="dxa" w:w="4176"/>
            <w:shd w:val="clear" w:color="auto" w:fill="1F4995"/>
          </w:tcPr>
          <w:p>
            <w:pPr>
              <w:jc w:val="center"/>
            </w:pPr>
            <w:r/>
            <w:r>
              <w:rPr>
                <w:b/>
                <w:color w:val="FFFFFF"/>
                <w:sz w:val="18"/>
              </w:rPr>
              <w:t>Raw Formula</w:t>
            </w:r>
          </w:p>
        </w:tc>
        <w:tc>
          <w:tcPr>
            <w:tcW w:type="dxa" w:w="2880"/>
            <w:shd w:val="clear" w:color="auto" w:fill="1F4995"/>
          </w:tcPr>
          <w:p>
            <w:pPr>
              <w:jc w:val="center"/>
            </w:pPr>
            <w:r/>
            <w:r>
              <w:rPr>
                <w:b/>
                <w:color w:val="FFFFFF"/>
                <w:sz w:val="18"/>
              </w:rPr>
              <w:t>Dependencies / Notes</w:t>
            </w:r>
          </w:p>
        </w:tc>
      </w:tr>
      <w:tr>
        <w:tc>
          <w:tcPr>
            <w:tcW w:type="dxa" w:w="2232"/>
            <w:shd w:val="clear" w:color="auto" w:fill="F2F2F2"/>
          </w:tcPr>
          <w:p>
            <w:pPr>
              <w:jc w:val="left"/>
            </w:pPr>
            <w:r/>
            <w:r>
              <w:rPr>
                <w:sz w:val="17"/>
              </w:rPr>
              <w:t>% of Quota Achieved</w:t>
            </w:r>
          </w:p>
        </w:tc>
        <w:tc>
          <w:tcPr>
            <w:tcW w:type="dxa" w:w="1944"/>
            <w:shd w:val="clear" w:color="auto" w:fill="F2F2F2"/>
          </w:tcPr>
          <w:p>
            <w:pPr>
              <w:jc w:val="left"/>
            </w:pPr>
            <w:r/>
            <w:r>
              <w:rPr>
                <w:sz w:val="17"/>
              </w:rPr>
              <w:t>Sales Commission</w:t>
            </w:r>
          </w:p>
        </w:tc>
        <w:tc>
          <w:tcPr>
            <w:tcW w:type="dxa" w:w="4176"/>
            <w:shd w:val="clear" w:color="auto" w:fill="F2F2F2"/>
          </w:tcPr>
          <w:p>
            <w:pPr>
              <w:jc w:val="left"/>
            </w:pPr>
            <w:r/>
            <w:r>
              <w:rPr>
                <w:sz w:val="17"/>
              </w:rPr>
              <w:t>AVG([Achievement (copy)])/[Parameters].[New Quota]</w:t>
            </w:r>
          </w:p>
        </w:tc>
        <w:tc>
          <w:tcPr>
            <w:tcW w:type="dxa" w:w="2880"/>
            <w:shd w:val="clear" w:color="auto" w:fill="F2F2F2"/>
          </w:tcPr>
          <w:p>
            <w:pPr>
              <w:jc w:val="left"/>
            </w:pPr>
            <w:r/>
            <w:r>
              <w:rPr>
                <w:sz w:val="17"/>
              </w:rPr>
              <w:t>Depends on Achievement (estimated) and New Quota parameter. Displayed as a percentage label on each bar in QuotaAttainment.</w:t>
            </w:r>
          </w:p>
        </w:tc>
      </w:tr>
      <w:tr>
        <w:tc>
          <w:tcPr>
            <w:tcW w:type="dxa" w:w="2232"/>
            <w:shd w:val="clear" w:color="auto" w:fill="FFFFFF"/>
          </w:tcPr>
          <w:p>
            <w:pPr>
              <w:jc w:val="left"/>
            </w:pPr>
            <w:r/>
            <w:r>
              <w:rPr>
                <w:sz w:val="17"/>
              </w:rPr>
              <w:t>Achievement (estimated)</w:t>
            </w:r>
          </w:p>
        </w:tc>
        <w:tc>
          <w:tcPr>
            <w:tcW w:type="dxa" w:w="1944"/>
            <w:shd w:val="clear" w:color="auto" w:fill="FFFFFF"/>
          </w:tcPr>
          <w:p>
            <w:pPr>
              <w:jc w:val="left"/>
            </w:pPr>
            <w:r/>
            <w:r>
              <w:rPr>
                <w:sz w:val="17"/>
              </w:rPr>
              <w:t>Sales Commission</w:t>
            </w:r>
          </w:p>
        </w:tc>
        <w:tc>
          <w:tcPr>
            <w:tcW w:type="dxa" w:w="4176"/>
            <w:shd w:val="clear" w:color="auto" w:fill="FFFFFF"/>
          </w:tcPr>
          <w:p>
            <w:pPr>
              <w:jc w:val="left"/>
            </w:pPr>
            <w:r/>
            <w:r>
              <w:rPr>
                <w:sz w:val="17"/>
              </w:rPr>
              <w:t>[Sales]</w:t>
            </w:r>
          </w:p>
        </w:tc>
        <w:tc>
          <w:tcPr>
            <w:tcW w:type="dxa" w:w="2880"/>
            <w:shd w:val="clear" w:color="auto" w:fill="FFFFFF"/>
          </w:tcPr>
          <w:p>
            <w:pPr>
              <w:jc w:val="left"/>
            </w:pPr>
            <w:r/>
            <w:r>
              <w:rPr>
                <w:sz w:val="17"/>
              </w:rPr>
              <w:t>An alias for the Sales field in the Sales Commission data source, renamed to clarify its role as a proxy for each rep's actual sales achievement.</w:t>
            </w:r>
          </w:p>
        </w:tc>
      </w:tr>
      <w:tr>
        <w:tc>
          <w:tcPr>
            <w:tcW w:type="dxa" w:w="2232"/>
            <w:shd w:val="clear" w:color="auto" w:fill="F2F2F2"/>
          </w:tcPr>
          <w:p>
            <w:pPr>
              <w:jc w:val="left"/>
            </w:pPr>
            <w:r/>
            <w:r>
              <w:rPr>
                <w:sz w:val="17"/>
              </w:rPr>
              <w:t>Achieved Quota</w:t>
            </w:r>
          </w:p>
        </w:tc>
        <w:tc>
          <w:tcPr>
            <w:tcW w:type="dxa" w:w="1944"/>
            <w:shd w:val="clear" w:color="auto" w:fill="F2F2F2"/>
          </w:tcPr>
          <w:p>
            <w:pPr>
              <w:jc w:val="left"/>
            </w:pPr>
            <w:r/>
            <w:r>
              <w:rPr>
                <w:sz w:val="17"/>
              </w:rPr>
              <w:t>Sales Commission</w:t>
            </w:r>
          </w:p>
        </w:tc>
        <w:tc>
          <w:tcPr>
            <w:tcW w:type="dxa" w:w="4176"/>
            <w:shd w:val="clear" w:color="auto" w:fill="F2F2F2"/>
          </w:tcPr>
          <w:p>
            <w:pPr>
              <w:jc w:val="left"/>
            </w:pPr>
            <w:r/>
            <w:r>
              <w:rPr>
                <w:sz w:val="17"/>
              </w:rPr>
              <w:t>IF SUM([Achievement (copy)]) &gt;= [Parameters].[New Quota] THEN "100% +"</w:t>
              <w:br/>
              <w:t>ELSEIF SUM([Achievement (copy)]) &gt;= 0.75 * [Parameters].[New Quota] THEN "75-100%"</w:t>
              <w:br/>
              <w:t>ELSEIF SUM([Achievement (copy)]) &gt;= 0.5 * [Parameters].[New Quota] THEN "50-75%"</w:t>
              <w:br/>
              <w:t>ELSE "Below 50%"</w:t>
              <w:br/>
              <w:t>END</w:t>
            </w:r>
          </w:p>
        </w:tc>
        <w:tc>
          <w:tcPr>
            <w:tcW w:type="dxa" w:w="2880"/>
            <w:shd w:val="clear" w:color="auto" w:fill="F2F2F2"/>
          </w:tcPr>
          <w:p>
            <w:pPr>
              <w:jc w:val="left"/>
            </w:pPr>
            <w:r/>
            <w:r>
              <w:rPr>
                <w:sz w:val="17"/>
              </w:rPr>
              <w:t>Depends on Achievement (estimated) copy and New Quota parameter. Used as the color/tier dimension in QuotaAttainment.</w:t>
            </w:r>
          </w:p>
        </w:tc>
      </w:tr>
      <w:tr>
        <w:tc>
          <w:tcPr>
            <w:tcW w:type="dxa" w:w="2232"/>
            <w:shd w:val="clear" w:color="auto" w:fill="FFFFFF"/>
          </w:tcPr>
          <w:p>
            <w:pPr>
              <w:jc w:val="left"/>
            </w:pPr>
            <w:r/>
            <w:r>
              <w:rPr>
                <w:sz w:val="17"/>
              </w:rPr>
              <w:t>Base (Variable)</w:t>
            </w:r>
          </w:p>
        </w:tc>
        <w:tc>
          <w:tcPr>
            <w:tcW w:type="dxa" w:w="1944"/>
            <w:shd w:val="clear" w:color="auto" w:fill="FFFFFF"/>
          </w:tcPr>
          <w:p>
            <w:pPr>
              <w:jc w:val="left"/>
            </w:pPr>
            <w:r/>
            <w:r>
              <w:rPr>
                <w:sz w:val="17"/>
              </w:rPr>
              <w:t>Sales Commission</w:t>
            </w:r>
          </w:p>
        </w:tc>
        <w:tc>
          <w:tcPr>
            <w:tcW w:type="dxa" w:w="4176"/>
            <w:shd w:val="clear" w:color="auto" w:fill="FFFFFF"/>
          </w:tcPr>
          <w:p>
            <w:pPr>
              <w:jc w:val="left"/>
            </w:pPr>
            <w:r/>
            <w:r>
              <w:rPr>
                <w:sz w:val="17"/>
              </w:rPr>
              <w:t>[Parameters].[Base Salary]</w:t>
            </w:r>
          </w:p>
        </w:tc>
        <w:tc>
          <w:tcPr>
            <w:tcW w:type="dxa" w:w="2880"/>
            <w:shd w:val="clear" w:color="auto" w:fill="FFFFFF"/>
          </w:tcPr>
          <w:p>
            <w:pPr>
              <w:jc w:val="left"/>
            </w:pPr>
            <w:r/>
            <w:r>
              <w:rPr>
                <w:sz w:val="17"/>
              </w:rPr>
              <w:t>Passes the Base Salary parameter value through as a row-level measure field so it can be placed on the Measure Names shelf alongside Commission (Variable).</w:t>
            </w:r>
          </w:p>
        </w:tc>
      </w:tr>
      <w:tr>
        <w:tc>
          <w:tcPr>
            <w:tcW w:type="dxa" w:w="2232"/>
            <w:shd w:val="clear" w:color="auto" w:fill="F2F2F2"/>
          </w:tcPr>
          <w:p>
            <w:pPr>
              <w:jc w:val="left"/>
            </w:pPr>
            <w:r/>
            <w:r>
              <w:rPr>
                <w:sz w:val="17"/>
              </w:rPr>
              <w:t>Commission (Variable)</w:t>
            </w:r>
          </w:p>
        </w:tc>
        <w:tc>
          <w:tcPr>
            <w:tcW w:type="dxa" w:w="1944"/>
            <w:shd w:val="clear" w:color="auto" w:fill="F2F2F2"/>
          </w:tcPr>
          <w:p>
            <w:pPr>
              <w:jc w:val="left"/>
            </w:pPr>
            <w:r/>
            <w:r>
              <w:rPr>
                <w:sz w:val="17"/>
              </w:rPr>
              <w:t>Sales Commission</w:t>
            </w:r>
          </w:p>
        </w:tc>
        <w:tc>
          <w:tcPr>
            <w:tcW w:type="dxa" w:w="4176"/>
            <w:shd w:val="clear" w:color="auto" w:fill="F2F2F2"/>
          </w:tcPr>
          <w:p>
            <w:pPr>
              <w:jc w:val="left"/>
            </w:pPr>
            <w:r/>
            <w:r>
              <w:rPr>
                <w:sz w:val="17"/>
              </w:rPr>
              <w:t>([Parameters].[Commission Rate]*[Sales])/100</w:t>
            </w:r>
          </w:p>
        </w:tc>
        <w:tc>
          <w:tcPr>
            <w:tcW w:type="dxa" w:w="2880"/>
            <w:shd w:val="clear" w:color="auto" w:fill="F2F2F2"/>
          </w:tcPr>
          <w:p>
            <w:pPr>
              <w:jc w:val="left"/>
            </w:pPr>
            <w:r/>
            <w:r>
              <w:rPr>
                <w:sz w:val="17"/>
              </w:rPr>
              <w:t>Depends on Commission Rate parameter and Sales field. Computes the variable commission earned on each individual sales record.</w:t>
            </w:r>
          </w:p>
        </w:tc>
      </w:tr>
      <w:tr>
        <w:tc>
          <w:tcPr>
            <w:tcW w:type="dxa" w:w="2232"/>
            <w:shd w:val="clear" w:color="auto" w:fill="FFFFFF"/>
          </w:tcPr>
          <w:p>
            <w:pPr>
              <w:jc w:val="left"/>
            </w:pPr>
            <w:r/>
            <w:r>
              <w:rPr>
                <w:sz w:val="17"/>
              </w:rPr>
              <w:t>Days to Ship Actual</w:t>
            </w:r>
          </w:p>
        </w:tc>
        <w:tc>
          <w:tcPr>
            <w:tcW w:type="dxa" w:w="1944"/>
            <w:shd w:val="clear" w:color="auto" w:fill="FFFFFF"/>
          </w:tcPr>
          <w:p>
            <w:pPr>
              <w:jc w:val="left"/>
            </w:pPr>
            <w:r/>
            <w:r>
              <w:rPr>
                <w:sz w:val="17"/>
              </w:rPr>
              <w:t>Sample - Superstore</w:t>
            </w:r>
          </w:p>
        </w:tc>
        <w:tc>
          <w:tcPr>
            <w:tcW w:type="dxa" w:w="4176"/>
            <w:shd w:val="clear" w:color="auto" w:fill="FFFFFF"/>
          </w:tcPr>
          <w:p>
            <w:pPr>
              <w:jc w:val="left"/>
            </w:pPr>
            <w:r/>
            <w:r>
              <w:rPr>
                <w:sz w:val="17"/>
              </w:rPr>
              <w:t>DATEDIFF('day',[Order Date],[Ship Date])</w:t>
            </w:r>
          </w:p>
        </w:tc>
        <w:tc>
          <w:tcPr>
            <w:tcW w:type="dxa" w:w="2880"/>
            <w:shd w:val="clear" w:color="auto" w:fill="FFFFFF"/>
          </w:tcPr>
          <w:p>
            <w:pPr>
              <w:jc w:val="left"/>
            </w:pPr>
            <w:r/>
            <w:r>
              <w:rPr>
                <w:sz w:val="17"/>
              </w:rPr>
              <w:t>Requires Order Date and Ship Date from the Orders table. Returns the integer count of calendar days between order placement and ship date.</w:t>
            </w:r>
          </w:p>
        </w:tc>
      </w:tr>
      <w:tr>
        <w:tc>
          <w:tcPr>
            <w:tcW w:type="dxa" w:w="2232"/>
            <w:shd w:val="clear" w:color="auto" w:fill="F2F2F2"/>
          </w:tcPr>
          <w:p>
            <w:pPr>
              <w:jc w:val="left"/>
            </w:pPr>
            <w:r/>
            <w:r>
              <w:rPr>
                <w:sz w:val="17"/>
              </w:rPr>
              <w:t>Days to Ship Scheduled</w:t>
            </w:r>
          </w:p>
        </w:tc>
        <w:tc>
          <w:tcPr>
            <w:tcW w:type="dxa" w:w="1944"/>
            <w:shd w:val="clear" w:color="auto" w:fill="F2F2F2"/>
          </w:tcPr>
          <w:p>
            <w:pPr>
              <w:jc w:val="left"/>
            </w:pPr>
            <w:r/>
            <w:r>
              <w:rPr>
                <w:sz w:val="17"/>
              </w:rPr>
              <w:t>Sample - Superstore</w:t>
            </w:r>
          </w:p>
        </w:tc>
        <w:tc>
          <w:tcPr>
            <w:tcW w:type="dxa" w:w="4176"/>
            <w:shd w:val="clear" w:color="auto" w:fill="F2F2F2"/>
          </w:tcPr>
          <w:p>
            <w:pPr>
              <w:jc w:val="left"/>
            </w:pPr>
            <w:r/>
            <w:r>
              <w:rPr>
                <w:sz w:val="17"/>
              </w:rPr>
              <w:t>CASE [Ship Mode]</w:t>
              <w:br/>
              <w:t>WHEN "Same Day" THEN 0</w:t>
              <w:br/>
              <w:t>WHEN "First Class" THEN 1</w:t>
              <w:br/>
              <w:t>WHEN "Second Class" THEN 3</w:t>
              <w:br/>
              <w:t>WHEN "Standard Class" THEN 6</w:t>
              <w:br/>
              <w:t>END</w:t>
            </w:r>
          </w:p>
        </w:tc>
        <w:tc>
          <w:tcPr>
            <w:tcW w:type="dxa" w:w="2880"/>
            <w:shd w:val="clear" w:color="auto" w:fill="F2F2F2"/>
          </w:tcPr>
          <w:p>
            <w:pPr>
              <w:jc w:val="left"/>
            </w:pPr>
            <w:r/>
            <w:r>
              <w:rPr>
                <w:sz w:val="17"/>
              </w:rPr>
              <w:t>Requires Ship Mode field. Returns the contractual delivery window in days for the chosen shipping service level.</w:t>
            </w:r>
          </w:p>
        </w:tc>
      </w:tr>
      <w:tr>
        <w:tc>
          <w:tcPr>
            <w:tcW w:type="dxa" w:w="2232"/>
            <w:shd w:val="clear" w:color="auto" w:fill="FFFFFF"/>
          </w:tcPr>
          <w:p>
            <w:pPr>
              <w:jc w:val="left"/>
            </w:pPr>
            <w:r/>
            <w:r>
              <w:rPr>
                <w:sz w:val="17"/>
              </w:rPr>
              <w:t>Order Profitable?</w:t>
            </w:r>
          </w:p>
        </w:tc>
        <w:tc>
          <w:tcPr>
            <w:tcW w:type="dxa" w:w="1944"/>
            <w:shd w:val="clear" w:color="auto" w:fill="FFFFFF"/>
          </w:tcPr>
          <w:p>
            <w:pPr>
              <w:jc w:val="left"/>
            </w:pPr>
            <w:r/>
            <w:r>
              <w:rPr>
                <w:sz w:val="17"/>
              </w:rPr>
              <w:t>Sample - Superstore</w:t>
            </w:r>
          </w:p>
        </w:tc>
        <w:tc>
          <w:tcPr>
            <w:tcW w:type="dxa" w:w="4176"/>
            <w:shd w:val="clear" w:color="auto" w:fill="FFFFFF"/>
          </w:tcPr>
          <w:p>
            <w:pPr>
              <w:jc w:val="left"/>
            </w:pPr>
            <w:r/>
            <w:r>
              <w:rPr>
                <w:sz w:val="17"/>
              </w:rPr>
              <w:t>{FIXED [Order ID] : SUM([Profit])} &gt; 0</w:t>
            </w:r>
          </w:p>
        </w:tc>
        <w:tc>
          <w:tcPr>
            <w:tcW w:type="dxa" w:w="2880"/>
            <w:shd w:val="clear" w:color="auto" w:fill="FFFFFF"/>
          </w:tcPr>
          <w:p>
            <w:pPr>
              <w:jc w:val="left"/>
            </w:pPr>
            <w:r/>
            <w:r>
              <w:rPr>
                <w:sz w:val="17"/>
              </w:rPr>
              <w:t>Fixed LOD expression; ignores all view-level filters. Returns TRUE if the total profit across all line items on the same Order ID is positive. Requires Order ID and Profit.</w:t>
            </w:r>
          </w:p>
        </w:tc>
      </w:tr>
      <w:tr>
        <w:tc>
          <w:tcPr>
            <w:tcW w:type="dxa" w:w="2232"/>
            <w:shd w:val="clear" w:color="auto" w:fill="F2F2F2"/>
          </w:tcPr>
          <w:p>
            <w:pPr>
              <w:jc w:val="left"/>
            </w:pPr>
            <w:r/>
            <w:r>
              <w:rPr>
                <w:sz w:val="17"/>
              </w:rPr>
              <w:t>OTE (Variable)</w:t>
            </w:r>
          </w:p>
        </w:tc>
        <w:tc>
          <w:tcPr>
            <w:tcW w:type="dxa" w:w="1944"/>
            <w:shd w:val="clear" w:color="auto" w:fill="F2F2F2"/>
          </w:tcPr>
          <w:p>
            <w:pPr>
              <w:jc w:val="left"/>
            </w:pPr>
            <w:r/>
            <w:r>
              <w:rPr>
                <w:sz w:val="17"/>
              </w:rPr>
              <w:t>Sales Commission</w:t>
            </w:r>
          </w:p>
        </w:tc>
        <w:tc>
          <w:tcPr>
            <w:tcW w:type="dxa" w:w="4176"/>
            <w:shd w:val="clear" w:color="auto" w:fill="F2F2F2"/>
          </w:tcPr>
          <w:p>
            <w:pPr>
              <w:jc w:val="left"/>
            </w:pPr>
            <w:r/>
            <w:r>
              <w:rPr>
                <w:sz w:val="17"/>
              </w:rPr>
              <w:t>[Parameters].[Base Salary] + ([Parameters].[Commission Rate]*[Parameters].[New Quota])/100</w:t>
            </w:r>
          </w:p>
        </w:tc>
        <w:tc>
          <w:tcPr>
            <w:tcW w:type="dxa" w:w="2880"/>
            <w:shd w:val="clear" w:color="auto" w:fill="F2F2F2"/>
          </w:tcPr>
          <w:p>
            <w:pPr>
              <w:jc w:val="left"/>
            </w:pPr>
            <w:r/>
            <w:r>
              <w:rPr>
                <w:sz w:val="17"/>
              </w:rPr>
              <w:t>Depends on Base Salary, Commission Rate, and New Quota parameters. Represents total per-rep compensation at exactly 100% quota attainment.</w:t>
            </w:r>
          </w:p>
        </w:tc>
      </w:tr>
      <w:tr>
        <w:tc>
          <w:tcPr>
            <w:tcW w:type="dxa" w:w="2232"/>
            <w:shd w:val="clear" w:color="auto" w:fill="FFFFFF"/>
          </w:tcPr>
          <w:p>
            <w:pPr>
              <w:jc w:val="left"/>
            </w:pPr>
            <w:r/>
            <w:r>
              <w:rPr>
                <w:sz w:val="17"/>
              </w:rPr>
              <w:t>Profit per Order</w:t>
            </w:r>
          </w:p>
        </w:tc>
        <w:tc>
          <w:tcPr>
            <w:tcW w:type="dxa" w:w="1944"/>
            <w:shd w:val="clear" w:color="auto" w:fill="FFFFFF"/>
          </w:tcPr>
          <w:p>
            <w:pPr>
              <w:jc w:val="left"/>
            </w:pPr>
            <w:r/>
            <w:r>
              <w:rPr>
                <w:sz w:val="17"/>
              </w:rPr>
              <w:t>Sample - Superstore</w:t>
            </w:r>
          </w:p>
        </w:tc>
        <w:tc>
          <w:tcPr>
            <w:tcW w:type="dxa" w:w="4176"/>
            <w:shd w:val="clear" w:color="auto" w:fill="FFFFFF"/>
          </w:tcPr>
          <w:p>
            <w:pPr>
              <w:jc w:val="left"/>
            </w:pPr>
            <w:r/>
            <w:r>
              <w:rPr>
                <w:sz w:val="17"/>
              </w:rPr>
              <w:t>SUM([Profit])/COUNTD([Order ID])</w:t>
            </w:r>
          </w:p>
        </w:tc>
        <w:tc>
          <w:tcPr>
            <w:tcW w:type="dxa" w:w="2880"/>
            <w:shd w:val="clear" w:color="auto" w:fill="FFFFFF"/>
          </w:tcPr>
          <w:p>
            <w:pPr>
              <w:jc w:val="left"/>
            </w:pPr>
            <w:r/>
            <w:r>
              <w:rPr>
                <w:sz w:val="17"/>
              </w:rPr>
              <w:t>Requires Profit and Order ID fields. Divides total profit by the count of distinct orders to yield average profit per order.</w:t>
            </w:r>
          </w:p>
        </w:tc>
      </w:tr>
      <w:tr>
        <w:tc>
          <w:tcPr>
            <w:tcW w:type="dxa" w:w="2232"/>
            <w:shd w:val="clear" w:color="auto" w:fill="F2F2F2"/>
          </w:tcPr>
          <w:p>
            <w:pPr>
              <w:jc w:val="left"/>
            </w:pPr>
            <w:r/>
            <w:r>
              <w:rPr>
                <w:sz w:val="17"/>
              </w:rPr>
              <w:t>Profit Ratio</w:t>
            </w:r>
          </w:p>
        </w:tc>
        <w:tc>
          <w:tcPr>
            <w:tcW w:type="dxa" w:w="1944"/>
            <w:shd w:val="clear" w:color="auto" w:fill="F2F2F2"/>
          </w:tcPr>
          <w:p>
            <w:pPr>
              <w:jc w:val="left"/>
            </w:pPr>
            <w:r/>
            <w:r>
              <w:rPr>
                <w:sz w:val="17"/>
              </w:rPr>
              <w:t>Sample - Superstore</w:t>
            </w:r>
          </w:p>
        </w:tc>
        <w:tc>
          <w:tcPr>
            <w:tcW w:type="dxa" w:w="4176"/>
            <w:shd w:val="clear" w:color="auto" w:fill="F2F2F2"/>
          </w:tcPr>
          <w:p>
            <w:pPr>
              <w:jc w:val="left"/>
            </w:pPr>
            <w:r/>
            <w:r>
              <w:rPr>
                <w:sz w:val="17"/>
              </w:rPr>
              <w:t>SUM([Profit])/SUM([Sales])</w:t>
            </w:r>
          </w:p>
        </w:tc>
        <w:tc>
          <w:tcPr>
            <w:tcW w:type="dxa" w:w="2880"/>
            <w:shd w:val="clear" w:color="auto" w:fill="F2F2F2"/>
          </w:tcPr>
          <w:p>
            <w:pPr>
              <w:jc w:val="left"/>
            </w:pPr>
            <w:r/>
            <w:r>
              <w:rPr>
                <w:sz w:val="17"/>
              </w:rPr>
              <w:t>Requires Profit and Sales fields. Standard margin proxy used as a color encoding in CustomerRank, CustomerScatter, ProductDetails, and Product Detail Sheet.</w:t>
            </w:r>
          </w:p>
        </w:tc>
      </w:tr>
      <w:tr>
        <w:tc>
          <w:tcPr>
            <w:tcW w:type="dxa" w:w="2232"/>
            <w:shd w:val="clear" w:color="auto" w:fill="FFFFFF"/>
          </w:tcPr>
          <w:p>
            <w:pPr>
              <w:jc w:val="left"/>
            </w:pPr>
            <w:r/>
            <w:r>
              <w:rPr>
                <w:sz w:val="17"/>
              </w:rPr>
              <w:t>Rank over 3</w:t>
            </w:r>
          </w:p>
        </w:tc>
        <w:tc>
          <w:tcPr>
            <w:tcW w:type="dxa" w:w="1944"/>
            <w:shd w:val="clear" w:color="auto" w:fill="FFFFFF"/>
          </w:tcPr>
          <w:p>
            <w:pPr>
              <w:jc w:val="left"/>
            </w:pPr>
            <w:r/>
            <w:r>
              <w:rPr>
                <w:sz w:val="17"/>
              </w:rPr>
              <w:t>Sales Commission</w:t>
            </w:r>
          </w:p>
        </w:tc>
        <w:tc>
          <w:tcPr>
            <w:tcW w:type="dxa" w:w="4176"/>
            <w:shd w:val="clear" w:color="auto" w:fill="FFFFFF"/>
          </w:tcPr>
          <w:p>
            <w:pPr>
              <w:jc w:val="left"/>
            </w:pPr>
            <w:r/>
            <w:r>
              <w:rPr>
                <w:sz w:val="17"/>
              </w:rPr>
              <w:t>ROUND(INDEX() / 3 - 0.6, 0) + 1</w:t>
            </w:r>
          </w:p>
        </w:tc>
        <w:tc>
          <w:tcPr>
            <w:tcW w:type="dxa" w:w="2880"/>
            <w:shd w:val="clear" w:color="auto" w:fill="FFFFFF"/>
          </w:tcPr>
          <w:p>
            <w:pPr>
              <w:jc w:val="left"/>
            </w:pPr>
            <w:r/>
            <w:r>
              <w:rPr>
                <w:sz w:val="17"/>
              </w:rPr>
              <w:t>Table calculation (ordering: Rows). Groups sequential row numbers into blocks of 3. Used for layout and pagination on the Commission Model dashboard.</w:t>
            </w:r>
          </w:p>
        </w:tc>
      </w:tr>
      <w:tr>
        <w:tc>
          <w:tcPr>
            <w:tcW w:type="dxa" w:w="2232"/>
            <w:shd w:val="clear" w:color="auto" w:fill="F2F2F2"/>
          </w:tcPr>
          <w:p>
            <w:pPr>
              <w:jc w:val="left"/>
            </w:pPr>
            <w:r/>
            <w:r>
              <w:rPr>
                <w:sz w:val="17"/>
              </w:rPr>
              <w:t>Sales above Target?</w:t>
            </w:r>
          </w:p>
        </w:tc>
        <w:tc>
          <w:tcPr>
            <w:tcW w:type="dxa" w:w="1944"/>
            <w:shd w:val="clear" w:color="auto" w:fill="F2F2F2"/>
          </w:tcPr>
          <w:p>
            <w:pPr>
              <w:jc w:val="left"/>
            </w:pPr>
            <w:r/>
            <w:r>
              <w:rPr>
                <w:sz w:val="17"/>
              </w:rPr>
              <w:t>Sample - Superstore</w:t>
            </w:r>
          </w:p>
        </w:tc>
        <w:tc>
          <w:tcPr>
            <w:tcW w:type="dxa" w:w="4176"/>
            <w:shd w:val="clear" w:color="auto" w:fill="F2F2F2"/>
          </w:tcPr>
          <w:p>
            <w:pPr>
              <w:jc w:val="left"/>
            </w:pPr>
            <w:r/>
            <w:r>
              <w:rPr>
                <w:sz w:val="17"/>
              </w:rPr>
              <w:t>IF SUM([Sales]) &gt; SUM([federated.0hgpf0j1fdpvv316shikk0mmdlec].[Sales Target])</w:t>
              <w:br/>
              <w:t>THEN "Above Target"</w:t>
              <w:br/>
              <w:t>ELSE "Below Target"</w:t>
              <w:br/>
              <w:t>END</w:t>
            </w:r>
          </w:p>
        </w:tc>
        <w:tc>
          <w:tcPr>
            <w:tcW w:type="dxa" w:w="2880"/>
            <w:shd w:val="clear" w:color="auto" w:fill="F2F2F2"/>
          </w:tcPr>
          <w:p>
            <w:pPr>
              <w:jc w:val="left"/>
            </w:pPr>
            <w:r/>
            <w:r>
              <w:rPr>
                <w:sz w:val="17"/>
              </w:rPr>
              <w:t>Requires a data blend with the Sales Target data source (federated). Used as the bar color dimension on the Performance visualization.</w:t>
            </w:r>
          </w:p>
        </w:tc>
      </w:tr>
      <w:tr>
        <w:tc>
          <w:tcPr>
            <w:tcW w:type="dxa" w:w="2232"/>
            <w:shd w:val="clear" w:color="auto" w:fill="FFFFFF"/>
          </w:tcPr>
          <w:p>
            <w:pPr>
              <w:jc w:val="left"/>
            </w:pPr>
            <w:r/>
            <w:r>
              <w:rPr>
                <w:sz w:val="17"/>
              </w:rPr>
              <w:t>Sales Forecast</w:t>
            </w:r>
          </w:p>
        </w:tc>
        <w:tc>
          <w:tcPr>
            <w:tcW w:type="dxa" w:w="1944"/>
            <w:shd w:val="clear" w:color="auto" w:fill="FFFFFF"/>
          </w:tcPr>
          <w:p>
            <w:pPr>
              <w:jc w:val="left"/>
            </w:pPr>
            <w:r/>
            <w:r>
              <w:rPr>
                <w:sz w:val="17"/>
              </w:rPr>
              <w:t>Sample - Superstore</w:t>
            </w:r>
          </w:p>
        </w:tc>
        <w:tc>
          <w:tcPr>
            <w:tcW w:type="dxa" w:w="4176"/>
            <w:shd w:val="clear" w:color="auto" w:fill="FFFFFF"/>
          </w:tcPr>
          <w:p>
            <w:pPr>
              <w:jc w:val="left"/>
            </w:pPr>
            <w:r/>
            <w:r>
              <w:rPr>
                <w:sz w:val="17"/>
              </w:rPr>
              <w:t>[Sales]*(1-[Parameters].[Parameter 2])*(1+[Parameters].[Parameter 1])</w:t>
            </w:r>
          </w:p>
        </w:tc>
        <w:tc>
          <w:tcPr>
            <w:tcW w:type="dxa" w:w="2880"/>
            <w:shd w:val="clear" w:color="auto" w:fill="FFFFFF"/>
          </w:tcPr>
          <w:p>
            <w:pPr>
              <w:jc w:val="left"/>
            </w:pPr>
            <w:r/>
            <w:r>
              <w:rPr>
                <w:sz w:val="17"/>
              </w:rPr>
              <w:t>Parameter 2 = Churn Rate; Parameter 1 = New Business Growth. Projects net future sales by discounting for churn and inflating for new business. Used in What If Forecast.</w:t>
            </w:r>
          </w:p>
        </w:tc>
      </w:tr>
      <w:tr>
        <w:tc>
          <w:tcPr>
            <w:tcW w:type="dxa" w:w="2232"/>
            <w:shd w:val="clear" w:color="auto" w:fill="F2F2F2"/>
          </w:tcPr>
          <w:p>
            <w:pPr>
              <w:jc w:val="left"/>
            </w:pPr>
            <w:r/>
            <w:r>
              <w:rPr>
                <w:sz w:val="17"/>
              </w:rPr>
              <w:t>Sales per Customer</w:t>
            </w:r>
          </w:p>
        </w:tc>
        <w:tc>
          <w:tcPr>
            <w:tcW w:type="dxa" w:w="1944"/>
            <w:shd w:val="clear" w:color="auto" w:fill="F2F2F2"/>
          </w:tcPr>
          <w:p>
            <w:pPr>
              <w:jc w:val="left"/>
            </w:pPr>
            <w:r/>
            <w:r>
              <w:rPr>
                <w:sz w:val="17"/>
              </w:rPr>
              <w:t>Sample - Superstore</w:t>
            </w:r>
          </w:p>
        </w:tc>
        <w:tc>
          <w:tcPr>
            <w:tcW w:type="dxa" w:w="4176"/>
            <w:shd w:val="clear" w:color="auto" w:fill="F2F2F2"/>
          </w:tcPr>
          <w:p>
            <w:pPr>
              <w:jc w:val="left"/>
            </w:pPr>
            <w:r/>
            <w:r>
              <w:rPr>
                <w:sz w:val="17"/>
              </w:rPr>
              <w:t>SUM([Sales])/COUNTD([Customer Name])</w:t>
            </w:r>
          </w:p>
        </w:tc>
        <w:tc>
          <w:tcPr>
            <w:tcW w:type="dxa" w:w="2880"/>
            <w:shd w:val="clear" w:color="auto" w:fill="F2F2F2"/>
          </w:tcPr>
          <w:p>
            <w:pPr>
              <w:jc w:val="left"/>
            </w:pPr>
            <w:r/>
            <w:r>
              <w:rPr>
                <w:sz w:val="17"/>
              </w:rPr>
              <w:t>Requires Sales and Customer Name fields. Average sales revenue per unique customer; displayed as a KPI column in CustomerOverview.</w:t>
            </w:r>
          </w:p>
        </w:tc>
      </w:tr>
      <w:tr>
        <w:tc>
          <w:tcPr>
            <w:tcW w:type="dxa" w:w="2232"/>
            <w:shd w:val="clear" w:color="auto" w:fill="FFFFFF"/>
          </w:tcPr>
          <w:p>
            <w:pPr>
              <w:jc w:val="left"/>
            </w:pPr>
            <w:r/>
            <w:r>
              <w:rPr>
                <w:sz w:val="17"/>
              </w:rPr>
              <w:t>Sales vs Target Difference</w:t>
            </w:r>
          </w:p>
        </w:tc>
        <w:tc>
          <w:tcPr>
            <w:tcW w:type="dxa" w:w="1944"/>
            <w:shd w:val="clear" w:color="auto" w:fill="FFFFFF"/>
          </w:tcPr>
          <w:p>
            <w:pPr>
              <w:jc w:val="left"/>
            </w:pPr>
            <w:r/>
            <w:r>
              <w:rPr>
                <w:sz w:val="17"/>
              </w:rPr>
              <w:t>Sample - Superstore</w:t>
            </w:r>
          </w:p>
        </w:tc>
        <w:tc>
          <w:tcPr>
            <w:tcW w:type="dxa" w:w="4176"/>
            <w:shd w:val="clear" w:color="auto" w:fill="FFFFFF"/>
          </w:tcPr>
          <w:p>
            <w:pPr>
              <w:jc w:val="left"/>
            </w:pPr>
            <w:r/>
            <w:r>
              <w:rPr>
                <w:sz w:val="17"/>
              </w:rPr>
              <w:t>SUM([Sales])-SUM([federated.0hgpf0j1fdpvv316shikk0mmdlec].[Sales Target])</w:t>
            </w:r>
          </w:p>
        </w:tc>
        <w:tc>
          <w:tcPr>
            <w:tcW w:type="dxa" w:w="2880"/>
            <w:shd w:val="clear" w:color="auto" w:fill="FFFFFF"/>
          </w:tcPr>
          <w:p>
            <w:pPr>
              <w:jc w:val="left"/>
            </w:pPr>
            <w:r/>
            <w:r>
              <w:rPr>
                <w:sz w:val="17"/>
              </w:rPr>
              <w:t>Requires Sales Target data source blend. Raw dollar gap between actual sales and the target; shown in the Performance visualization tooltip.</w:t>
            </w:r>
          </w:p>
        </w:tc>
      </w:tr>
      <w:tr>
        <w:tc>
          <w:tcPr>
            <w:tcW w:type="dxa" w:w="2232"/>
            <w:shd w:val="clear" w:color="auto" w:fill="F2F2F2"/>
          </w:tcPr>
          <w:p>
            <w:pPr>
              <w:jc w:val="left"/>
            </w:pPr>
            <w:r/>
            <w:r>
              <w:rPr>
                <w:sz w:val="17"/>
              </w:rPr>
              <w:t>Ship Status</w:t>
            </w:r>
          </w:p>
        </w:tc>
        <w:tc>
          <w:tcPr>
            <w:tcW w:type="dxa" w:w="1944"/>
            <w:shd w:val="clear" w:color="auto" w:fill="F2F2F2"/>
          </w:tcPr>
          <w:p>
            <w:pPr>
              <w:jc w:val="left"/>
            </w:pPr>
            <w:r/>
            <w:r>
              <w:rPr>
                <w:sz w:val="17"/>
              </w:rPr>
              <w:t>Sample - Superstore</w:t>
            </w:r>
          </w:p>
        </w:tc>
        <w:tc>
          <w:tcPr>
            <w:tcW w:type="dxa" w:w="4176"/>
            <w:shd w:val="clear" w:color="auto" w:fill="F2F2F2"/>
          </w:tcPr>
          <w:p>
            <w:pPr>
              <w:jc w:val="left"/>
            </w:pPr>
            <w:r/>
            <w:r>
              <w:rPr>
                <w:sz w:val="17"/>
              </w:rPr>
              <w:t>IF [Days to Ship Actual] &gt; [Days to Ship Scheduled] THEN "Shipped Late"</w:t>
              <w:br/>
              <w:t>ELSEIF [Days to Ship Actual] = [Days to Ship Scheduled] THEN "Shipped On Time"</w:t>
              <w:br/>
              <w:t>ELSE "Shipped Early"</w:t>
              <w:br/>
              <w:t>END</w:t>
            </w:r>
          </w:p>
        </w:tc>
        <w:tc>
          <w:tcPr>
            <w:tcW w:type="dxa" w:w="2880"/>
            <w:shd w:val="clear" w:color="auto" w:fill="F2F2F2"/>
          </w:tcPr>
          <w:p>
            <w:pPr>
              <w:jc w:val="left"/>
            </w:pPr>
            <w:r/>
            <w:r>
              <w:rPr>
                <w:sz w:val="17"/>
              </w:rPr>
              <w:t>Depends on Days to Ship Actual and Days to Ship Scheduled. Primary color dimension across all Shipping dashboard views.</w:t>
            </w:r>
          </w:p>
        </w:tc>
      </w:tr>
      <w:tr>
        <w:tc>
          <w:tcPr>
            <w:tcW w:type="dxa" w:w="2232"/>
            <w:shd w:val="clear" w:color="auto" w:fill="FFFFFF"/>
          </w:tcPr>
          <w:p>
            <w:pPr>
              <w:jc w:val="left"/>
            </w:pPr>
            <w:r/>
            <w:r>
              <w:rPr>
                <w:sz w:val="17"/>
              </w:rPr>
              <w:t>Sort by field</w:t>
            </w:r>
          </w:p>
        </w:tc>
        <w:tc>
          <w:tcPr>
            <w:tcW w:type="dxa" w:w="1944"/>
            <w:shd w:val="clear" w:color="auto" w:fill="FFFFFF"/>
          </w:tcPr>
          <w:p>
            <w:pPr>
              <w:jc w:val="left"/>
            </w:pPr>
            <w:r/>
            <w:r>
              <w:rPr>
                <w:sz w:val="17"/>
              </w:rPr>
              <w:t>Sales Commission</w:t>
            </w:r>
          </w:p>
        </w:tc>
        <w:tc>
          <w:tcPr>
            <w:tcW w:type="dxa" w:w="4176"/>
            <w:shd w:val="clear" w:color="auto" w:fill="FFFFFF"/>
          </w:tcPr>
          <w:p>
            <w:pPr>
              <w:jc w:val="left"/>
            </w:pPr>
            <w:r/>
            <w:r>
              <w:rPr>
                <w:sz w:val="17"/>
              </w:rPr>
              <w:t>IF [Parameters].[Parameter 1 1]="Names" THEN 0</w:t>
              <w:br/>
              <w:t>ELSEIF [Parameters].[Parameter 1 1]="% quota descending" THEN -[% of quota achieved]</w:t>
              <w:br/>
              <w:t>ELSE [% of quota achieved]</w:t>
              <w:br/>
              <w:t>END</w:t>
            </w:r>
          </w:p>
        </w:tc>
        <w:tc>
          <w:tcPr>
            <w:tcW w:type="dxa" w:w="2880"/>
            <w:shd w:val="clear" w:color="auto" w:fill="FFFFFF"/>
          </w:tcPr>
          <w:p>
            <w:pPr>
              <w:jc w:val="left"/>
            </w:pPr>
            <w:r/>
            <w:r>
              <w:rPr>
                <w:sz w:val="17"/>
              </w:rPr>
              <w:t>Depends on Sort by parameter (referenced internally as Parameter 1 1) and % of Quota Achieved. Controls computed sort order of Sales Person on CommissionProjection and QuotaAttainment.</w:t>
            </w:r>
          </w:p>
        </w:tc>
      </w:tr>
      <w:tr>
        <w:tc>
          <w:tcPr>
            <w:tcW w:type="dxa" w:w="2232"/>
            <w:shd w:val="clear" w:color="auto" w:fill="F2F2F2"/>
          </w:tcPr>
          <w:p>
            <w:pPr>
              <w:jc w:val="left"/>
            </w:pPr>
            <w:r/>
            <w:r>
              <w:rPr>
                <w:sz w:val="17"/>
              </w:rPr>
              <w:t>Total Compensation</w:t>
            </w:r>
          </w:p>
        </w:tc>
        <w:tc>
          <w:tcPr>
            <w:tcW w:type="dxa" w:w="1944"/>
            <w:shd w:val="clear" w:color="auto" w:fill="F2F2F2"/>
          </w:tcPr>
          <w:p>
            <w:pPr>
              <w:jc w:val="left"/>
            </w:pPr>
            <w:r/>
            <w:r>
              <w:rPr>
                <w:sz w:val="17"/>
              </w:rPr>
              <w:t>Sales Commission</w:t>
            </w:r>
          </w:p>
        </w:tc>
        <w:tc>
          <w:tcPr>
            <w:tcW w:type="dxa" w:w="4176"/>
            <w:shd w:val="clear" w:color="auto" w:fill="F2F2F2"/>
          </w:tcPr>
          <w:p>
            <w:pPr>
              <w:jc w:val="left"/>
            </w:pPr>
            <w:r/>
            <w:r>
              <w:rPr>
                <w:sz w:val="17"/>
              </w:rPr>
              <w:t>MIN([Base (Variable)]) + SUM([Commission (Variable)])</w:t>
            </w:r>
          </w:p>
        </w:tc>
        <w:tc>
          <w:tcPr>
            <w:tcW w:type="dxa" w:w="2880"/>
            <w:shd w:val="clear" w:color="auto" w:fill="F2F2F2"/>
          </w:tcPr>
          <w:p>
            <w:pPr>
              <w:jc w:val="left"/>
            </w:pPr>
            <w:r/>
            <w:r>
              <w:rPr>
                <w:sz w:val="17"/>
              </w:rPr>
              <w:t>Depends on Base (Variable) and Commission (Variable). MIN is used for Base because it is a constant parameter value; SUM aggregates variable commission across all sales records for the rep.</w:t>
            </w:r>
          </w:p>
        </w:tc>
      </w:tr>
      <w:tr>
        <w:tc>
          <w:tcPr>
            <w:tcW w:type="dxa" w:w="2232"/>
            <w:shd w:val="clear" w:color="auto" w:fill="FFFFFF"/>
          </w:tcPr>
          <w:p>
            <w:pPr>
              <w:jc w:val="left"/>
            </w:pPr>
            <w:r/>
            <w:r>
              <w:rPr>
                <w:sz w:val="17"/>
              </w:rPr>
              <w:t>Units estimate</w:t>
            </w:r>
          </w:p>
        </w:tc>
        <w:tc>
          <w:tcPr>
            <w:tcW w:type="dxa" w:w="1944"/>
            <w:shd w:val="clear" w:color="auto" w:fill="FFFFFF"/>
          </w:tcPr>
          <w:p>
            <w:pPr>
              <w:jc w:val="left"/>
            </w:pPr>
            <w:r/>
            <w:r>
              <w:rPr>
                <w:sz w:val="17"/>
              </w:rPr>
              <w:t>Sample - Superstore</w:t>
            </w:r>
          </w:p>
        </w:tc>
        <w:tc>
          <w:tcPr>
            <w:tcW w:type="dxa" w:w="4176"/>
            <w:shd w:val="clear" w:color="auto" w:fill="FFFFFF"/>
          </w:tcPr>
          <w:p>
            <w:pPr>
              <w:jc w:val="left"/>
            </w:pPr>
            <w:r/>
            <w:r>
              <w:rPr>
                <w:sz w:val="17"/>
              </w:rPr>
              <w:t>ROUND([Quantity]*(1-[Parameters].[Parameter 2])*(1+[Parameters].[Parameter 1]),0)</w:t>
            </w:r>
          </w:p>
        </w:tc>
        <w:tc>
          <w:tcPr>
            <w:tcW w:type="dxa" w:w="2880"/>
            <w:shd w:val="clear" w:color="auto" w:fill="FFFFFF"/>
          </w:tcPr>
          <w:p>
            <w:pPr>
              <w:jc w:val="left"/>
            </w:pPr>
            <w:r/>
            <w:r>
              <w:rPr>
                <w:sz w:val="17"/>
              </w:rPr>
              <w:t>Parameter 2 = Churn Rate; Parameter 1 = New Business Growth. Projects adjusted order unit volumes using the same growth/churn logic as Sales Forecast. Used in What If Forecast.</w:t>
            </w:r>
          </w:p>
        </w:tc>
      </w:tr>
    </w:tbl>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