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422B" w14:textId="77777777" w:rsidR="00F50EB5" w:rsidRPr="00DA4031" w:rsidRDefault="00F50EB5" w:rsidP="00F50EB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A4031">
        <w:rPr>
          <w:rFonts w:ascii="Times New Roman" w:hAnsi="Times New Roman" w:cs="Times New Roman"/>
          <w:bCs/>
          <w:sz w:val="24"/>
          <w:szCs w:val="24"/>
        </w:rPr>
        <w:t>УДК 330.341.2</w:t>
      </w:r>
    </w:p>
    <w:p w14:paraId="1EC14E14" w14:textId="77777777" w:rsidR="00F50EB5" w:rsidRPr="00DA4031" w:rsidRDefault="00F50EB5" w:rsidP="00F50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D22D0" w14:textId="77777777" w:rsidR="00F50EB5" w:rsidRPr="00DA4031" w:rsidRDefault="00F50EB5" w:rsidP="00F50EB5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DA4031">
        <w:rPr>
          <w:rFonts w:ascii="Times New Roman" w:hAnsi="Times New Roman" w:cs="Times New Roman"/>
          <w:bCs/>
          <w:sz w:val="24"/>
          <w:szCs w:val="24"/>
          <w:lang w:eastAsia="ru-RU"/>
        </w:rPr>
        <w:t>Численное моделирование конкурентной борьбы агрегаторов такси на основе модели Лотки - Вольтерры с использованием реальных данных</w:t>
      </w:r>
    </w:p>
    <w:p w14:paraId="568D85B0" w14:textId="77777777" w:rsidR="00F50EB5" w:rsidRPr="00DA4031" w:rsidRDefault="00F50EB5" w:rsidP="00F50EB5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DA4031">
        <w:rPr>
          <w:rFonts w:ascii="Times New Roman" w:hAnsi="Times New Roman" w:cs="Times New Roman"/>
          <w:bCs/>
          <w:sz w:val="24"/>
          <w:szCs w:val="24"/>
          <w:lang w:eastAsia="ru-RU"/>
        </w:rPr>
        <w:t>Кожеватов</w:t>
      </w:r>
      <w:proofErr w:type="spellEnd"/>
      <w:r w:rsidRPr="00DA4031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А.Д.</w:t>
      </w:r>
    </w:p>
    <w:p w14:paraId="0E4EA228" w14:textId="77777777" w:rsidR="00F50EB5" w:rsidRPr="00DA4031" w:rsidRDefault="00F50EB5" w:rsidP="00F50E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031">
        <w:rPr>
          <w:rFonts w:ascii="Times New Roman" w:hAnsi="Times New Roman" w:cs="Times New Roman"/>
          <w:i/>
          <w:iCs/>
          <w:sz w:val="24"/>
          <w:szCs w:val="24"/>
        </w:rPr>
        <w:t xml:space="preserve">Нижегородский государственный технический университет им. Р. Е. Алексеева «НГТУ», Нижний Новгород, </w:t>
      </w:r>
      <w:proofErr w:type="spellStart"/>
      <w:r w:rsidRPr="00DA4031">
        <w:rPr>
          <w:rFonts w:ascii="Times New Roman" w:hAnsi="Times New Roman" w:cs="Times New Roman"/>
          <w:i/>
          <w:iCs/>
          <w:sz w:val="24"/>
          <w:szCs w:val="24"/>
        </w:rPr>
        <w:t>e-mail</w:t>
      </w:r>
      <w:proofErr w:type="spellEnd"/>
      <w:r w:rsidRPr="00DA403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DA4031">
        <w:rPr>
          <w:rFonts w:ascii="Times New Roman" w:hAnsi="Times New Roman" w:cs="Times New Roman"/>
          <w:sz w:val="24"/>
          <w:szCs w:val="24"/>
        </w:rPr>
        <w:t>alexey.kozhevatov@mail.ru</w:t>
      </w:r>
    </w:p>
    <w:p w14:paraId="79AF9D9D" w14:textId="77777777" w:rsidR="00F50EB5" w:rsidRDefault="00F50EB5" w:rsidP="00F50EB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3E7C01" w14:textId="77777777" w:rsidR="00F50EB5" w:rsidRPr="00DA4031" w:rsidRDefault="00F50EB5" w:rsidP="00F50EB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Для обеспечения экономической безопасности страны </w:t>
      </w:r>
      <w:r w:rsidRPr="0030011E">
        <w:rPr>
          <w:rFonts w:ascii="Times New Roman" w:hAnsi="Times New Roman" w:cs="Times New Roman"/>
          <w:bCs/>
          <w:sz w:val="24"/>
          <w:szCs w:val="24"/>
        </w:rPr>
        <w:t>[1</w:t>
      </w:r>
      <w:r w:rsidRPr="00B32D5E">
        <w:rPr>
          <w:rFonts w:ascii="Times New Roman" w:hAnsi="Times New Roman" w:cs="Times New Roman"/>
          <w:bCs/>
          <w:sz w:val="24"/>
          <w:szCs w:val="24"/>
        </w:rPr>
        <w:t>, 2</w:t>
      </w:r>
      <w:r w:rsidRPr="0030011E">
        <w:rPr>
          <w:rFonts w:ascii="Times New Roman" w:hAnsi="Times New Roman" w:cs="Times New Roman"/>
          <w:bCs/>
          <w:sz w:val="24"/>
          <w:szCs w:val="24"/>
        </w:rPr>
        <w:t>]</w:t>
      </w:r>
      <w:r>
        <w:rPr>
          <w:rFonts w:ascii="Times New Roman" w:hAnsi="Times New Roman" w:cs="Times New Roman"/>
          <w:bCs/>
          <w:sz w:val="24"/>
          <w:szCs w:val="24"/>
        </w:rPr>
        <w:t xml:space="preserve"> и обеспечения конкурентной борьбы предприятий необходимо сформировать рынок услуг. </w:t>
      </w:r>
      <w:r w:rsidRPr="00DA4031">
        <w:rPr>
          <w:rFonts w:ascii="Times New Roman" w:hAnsi="Times New Roman" w:cs="Times New Roman"/>
          <w:bCs/>
          <w:sz w:val="24"/>
          <w:szCs w:val="24"/>
        </w:rPr>
        <w:t xml:space="preserve">Анализ рынка </w:t>
      </w:r>
      <w:r w:rsidRPr="00DA4031">
        <w:rPr>
          <w:rFonts w:ascii="Times New Roman" w:hAnsi="Times New Roman" w:cs="Times New Roman"/>
          <w:bCs/>
          <w:sz w:val="24"/>
          <w:szCs w:val="24"/>
          <w:lang w:eastAsia="ru-RU"/>
        </w:rPr>
        <w:t>агрегаторов такси</w:t>
      </w:r>
      <w:r w:rsidRPr="00DA4031">
        <w:rPr>
          <w:rFonts w:ascii="Times New Roman" w:hAnsi="Times New Roman" w:cs="Times New Roman"/>
          <w:bCs/>
          <w:sz w:val="24"/>
          <w:szCs w:val="24"/>
        </w:rPr>
        <w:t xml:space="preserve"> является важным для бизнеса ведь </w:t>
      </w:r>
      <w:r w:rsidRPr="00DA4031">
        <w:rPr>
          <w:rFonts w:ascii="Times New Roman" w:hAnsi="Times New Roman" w:cs="Times New Roman"/>
          <w:sz w:val="24"/>
          <w:szCs w:val="24"/>
        </w:rPr>
        <w:t xml:space="preserve">предсказание такой динамики позволяет участникам рынка принимать эффективные стратегические решения, направленные на достижение выгоды. </w:t>
      </w:r>
      <w:r w:rsidRPr="00DA4031">
        <w:rPr>
          <w:rFonts w:ascii="Times New Roman" w:hAnsi="Times New Roman" w:cs="Times New Roman"/>
          <w:bCs/>
          <w:sz w:val="24"/>
          <w:szCs w:val="24"/>
        </w:rPr>
        <w:t xml:space="preserve">В данной работе рассматривается </w:t>
      </w:r>
      <w:r w:rsidRPr="00DA4031">
        <w:rPr>
          <w:rFonts w:ascii="Times New Roman" w:hAnsi="Times New Roman" w:cs="Times New Roman"/>
          <w:bCs/>
          <w:sz w:val="24"/>
          <w:szCs w:val="24"/>
          <w:lang w:eastAsia="ru-RU"/>
        </w:rPr>
        <w:t>конкурентная борьба агрегаторов такси</w:t>
      </w:r>
      <w:r w:rsidRPr="00DA4031">
        <w:rPr>
          <w:rFonts w:ascii="Times New Roman" w:hAnsi="Times New Roman" w:cs="Times New Roman"/>
          <w:bCs/>
          <w:sz w:val="24"/>
          <w:szCs w:val="24"/>
        </w:rPr>
        <w:t xml:space="preserve"> таких как Яндекс такси, Сити-</w:t>
      </w:r>
      <w:proofErr w:type="spellStart"/>
      <w:r w:rsidRPr="00DA4031">
        <w:rPr>
          <w:rFonts w:ascii="Times New Roman" w:hAnsi="Times New Roman" w:cs="Times New Roman"/>
          <w:bCs/>
          <w:sz w:val="24"/>
          <w:szCs w:val="24"/>
        </w:rPr>
        <w:t>мобил</w:t>
      </w:r>
      <w:proofErr w:type="spellEnd"/>
      <w:r w:rsidRPr="00DA4031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DA4031">
        <w:rPr>
          <w:rFonts w:ascii="Times New Roman" w:hAnsi="Times New Roman" w:cs="Times New Roman"/>
          <w:bCs/>
          <w:sz w:val="24"/>
          <w:szCs w:val="24"/>
        </w:rPr>
        <w:t>Gett</w:t>
      </w:r>
      <w:proofErr w:type="spellEnd"/>
      <w:r w:rsidRPr="00DA403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DA4031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Анализ данных за период с 2015-2022 </w:t>
      </w:r>
      <w:proofErr w:type="spellStart"/>
      <w:r w:rsidRPr="00DA4031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гг</w:t>
      </w:r>
      <w:proofErr w:type="spellEnd"/>
      <w:r w:rsidRPr="00DA4031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показал, что уже с 2016 году агрегатор Яндекс такси начинает занимать лидирующие позиции и стремится поглотить рынок </w:t>
      </w:r>
      <w:r w:rsidRPr="00DA4031">
        <w:rPr>
          <w:rFonts w:ascii="Times New Roman" w:hAnsi="Times New Roman" w:cs="Times New Roman"/>
          <w:sz w:val="24"/>
          <w:szCs w:val="24"/>
        </w:rPr>
        <w:t>[</w:t>
      </w:r>
      <w:r w:rsidRPr="00B32D5E">
        <w:rPr>
          <w:rFonts w:ascii="Times New Roman" w:hAnsi="Times New Roman" w:cs="Times New Roman"/>
          <w:sz w:val="24"/>
          <w:szCs w:val="24"/>
        </w:rPr>
        <w:t>3</w:t>
      </w:r>
      <w:r w:rsidRPr="00DA40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D5E">
        <w:rPr>
          <w:rFonts w:ascii="Times New Roman" w:hAnsi="Times New Roman" w:cs="Times New Roman"/>
          <w:sz w:val="24"/>
          <w:szCs w:val="24"/>
        </w:rPr>
        <w:t>4</w:t>
      </w:r>
      <w:r w:rsidRPr="00DA4031">
        <w:rPr>
          <w:rFonts w:ascii="Times New Roman" w:hAnsi="Times New Roman" w:cs="Times New Roman"/>
          <w:sz w:val="24"/>
          <w:szCs w:val="24"/>
        </w:rPr>
        <w:t xml:space="preserve">]. Рис 1. </w:t>
      </w:r>
      <w:r w:rsidRPr="00DA4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виден динамичный рост доли </w:t>
      </w:r>
      <w:proofErr w:type="gramStart"/>
      <w:r w:rsidRPr="00DA4031">
        <w:rPr>
          <w:rFonts w:ascii="Times New Roman" w:hAnsi="Times New Roman" w:cs="Times New Roman"/>
          <w:color w:val="000000" w:themeColor="text1"/>
          <w:sz w:val="24"/>
          <w:szCs w:val="24"/>
        </w:rPr>
        <w:t>рынка</w:t>
      </w:r>
      <w:proofErr w:type="gramEnd"/>
      <w:r w:rsidRPr="00DA40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занимаемого Яндекс такси и снижение долей конкурентов почти до нуля к 2022 году.</w:t>
      </w:r>
    </w:p>
    <w:p w14:paraId="352828D3" w14:textId="77777777" w:rsidR="00F50EB5" w:rsidRPr="00DA4031" w:rsidRDefault="00F50EB5" w:rsidP="00F50E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40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29ED6E" wp14:editId="45050835">
            <wp:extent cx="4335607" cy="22479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63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9194" cy="22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0729" w14:textId="77777777" w:rsidR="00F50EB5" w:rsidRPr="00DA4031" w:rsidRDefault="00F50EB5" w:rsidP="00F50EB5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A4031">
        <w:rPr>
          <w:rFonts w:ascii="Times New Roman" w:hAnsi="Times New Roman" w:cs="Times New Roman"/>
          <w:bCs/>
          <w:color w:val="000000"/>
          <w:sz w:val="24"/>
          <w:szCs w:val="24"/>
        </w:rPr>
        <w:t>Рисунок 1 - Соответствие кривых статистическим данным о доле рынка для компаний за период 2015-2022 годов</w:t>
      </w:r>
    </w:p>
    <w:p w14:paraId="4F2687EF" w14:textId="77777777" w:rsidR="00F50EB5" w:rsidRDefault="00F50EB5" w:rsidP="00F50EB5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</w:p>
    <w:p w14:paraId="1439C613" w14:textId="77777777" w:rsidR="00F50EB5" w:rsidRDefault="00F50EB5" w:rsidP="00F50EB5">
      <w:pPr>
        <w:spacing w:after="0" w:line="240" w:lineRule="auto"/>
        <w:ind w:firstLine="708"/>
        <w:jc w:val="both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При использовании интегрального метода, получены коэффициенты</w:t>
      </w:r>
      <w:r w:rsidRPr="00DA4031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математической модели,</w:t>
      </w:r>
      <w:r w:rsidRPr="00DA4031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такие коэффициенты как </w:t>
      </w:r>
      <w:r w:rsidRPr="00DA4031">
        <w:rPr>
          <w:rFonts w:ascii="Times New Roman" w:eastAsia="Cambria Math" w:hAnsi="Times New Roman" w:cs="Times New Roman"/>
          <w:iCs/>
          <w:sz w:val="24"/>
          <w:szCs w:val="24"/>
        </w:rPr>
        <w:t>внутренний рост компаний и коэффициент взаимодействия компаний на рынке</w:t>
      </w: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, описывающей конкурентную борьбу между данными агрегаторами. </w:t>
      </w:r>
      <w:r w:rsidRPr="00DA4031">
        <w:rPr>
          <w:rFonts w:ascii="Times New Roman" w:hAnsi="Times New Roman" w:cs="Times New Roman"/>
          <w:sz w:val="24"/>
          <w:szCs w:val="24"/>
        </w:rPr>
        <w:t xml:space="preserve">Введем обозначений для формализации конкурентной борьбы рассматриваемых компаний:  </w:t>
      </w:r>
      <w:r w:rsidRPr="00DA403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A4031">
        <w:rPr>
          <w:rFonts w:ascii="Times New Roman" w:hAnsi="Times New Roman" w:cs="Times New Roman"/>
          <w:sz w:val="24"/>
          <w:szCs w:val="24"/>
        </w:rPr>
        <w:t xml:space="preserve"> – доля рынка Яндекс такси, </w:t>
      </w:r>
      <w:r w:rsidRPr="00DA403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A4031">
        <w:rPr>
          <w:rFonts w:ascii="Times New Roman" w:hAnsi="Times New Roman" w:cs="Times New Roman"/>
          <w:sz w:val="24"/>
          <w:szCs w:val="24"/>
        </w:rPr>
        <w:t xml:space="preserve"> – доля рынка Сити-</w:t>
      </w:r>
      <w:proofErr w:type="spellStart"/>
      <w:r w:rsidRPr="00DA4031">
        <w:rPr>
          <w:rFonts w:ascii="Times New Roman" w:hAnsi="Times New Roman" w:cs="Times New Roman"/>
          <w:sz w:val="24"/>
          <w:szCs w:val="24"/>
        </w:rPr>
        <w:t>мобил</w:t>
      </w:r>
      <w:proofErr w:type="spellEnd"/>
      <w:r w:rsidRPr="00DA4031">
        <w:rPr>
          <w:rFonts w:ascii="Times New Roman" w:hAnsi="Times New Roman" w:cs="Times New Roman"/>
          <w:sz w:val="24"/>
          <w:szCs w:val="24"/>
        </w:rPr>
        <w:t xml:space="preserve">, </w:t>
      </w:r>
      <w:r w:rsidRPr="00DA403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DA4031">
        <w:rPr>
          <w:rFonts w:ascii="Times New Roman" w:hAnsi="Times New Roman" w:cs="Times New Roman"/>
          <w:sz w:val="24"/>
          <w:szCs w:val="24"/>
        </w:rPr>
        <w:t xml:space="preserve"> – доля рынка </w:t>
      </w:r>
      <w:proofErr w:type="spellStart"/>
      <w:r w:rsidRPr="00DA4031">
        <w:rPr>
          <w:rFonts w:ascii="Times New Roman" w:hAnsi="Times New Roman" w:cs="Times New Roman"/>
          <w:sz w:val="24"/>
          <w:szCs w:val="24"/>
          <w:lang w:val="en-US"/>
        </w:rPr>
        <w:t>Gett</w:t>
      </w:r>
      <w:proofErr w:type="spellEnd"/>
      <w:r w:rsidRPr="00DA4031">
        <w:rPr>
          <w:rFonts w:ascii="Times New Roman" w:hAnsi="Times New Roman" w:cs="Times New Roman"/>
          <w:sz w:val="24"/>
          <w:szCs w:val="24"/>
        </w:rPr>
        <w:t xml:space="preserve">, темпы изменения доли рынка компаний обозначены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Pr="00DA4031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DA4031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Pr="00DA4031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 w:rsidRPr="00DA4031">
        <w:rPr>
          <w:rFonts w:ascii="Times New Roman" w:eastAsia="Cambria Math" w:hAnsi="Times New Roman" w:cs="Times New Roman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eastAsia="Cambria Math" w:hAnsi="Cambria Math" w:cs="Times New Roman"/>
                <w:sz w:val="24"/>
                <w:szCs w:val="24"/>
              </w:rPr>
              <m:t>dt</m:t>
            </m:r>
          </m:den>
        </m:f>
      </m:oMath>
      <w:r w:rsidRPr="00DA4031">
        <w:rPr>
          <w:rFonts w:ascii="Times New Roman" w:eastAsia="Cambria Math" w:hAnsi="Times New Roman" w:cs="Times New Roman"/>
          <w:i/>
          <w:sz w:val="24"/>
          <w:szCs w:val="24"/>
        </w:rPr>
        <w:t xml:space="preserve"> </w:t>
      </w:r>
      <w:r w:rsidRPr="00DA4031">
        <w:rPr>
          <w:rFonts w:ascii="Times New Roman" w:eastAsia="Cambria Math" w:hAnsi="Times New Roman" w:cs="Times New Roman"/>
          <w:iCs/>
          <w:sz w:val="24"/>
          <w:szCs w:val="24"/>
        </w:rPr>
        <w:t xml:space="preserve">для компаний </w:t>
      </w:r>
      <w:r w:rsidRPr="00DA4031">
        <w:rPr>
          <w:rFonts w:ascii="Times New Roman" w:eastAsia="Cambria Math" w:hAnsi="Times New Roman" w:cs="Times New Roman"/>
          <w:iCs/>
          <w:sz w:val="24"/>
          <w:szCs w:val="24"/>
          <w:lang w:val="en-US"/>
        </w:rPr>
        <w:t>x</w:t>
      </w:r>
      <w:r w:rsidRPr="00DA4031">
        <w:rPr>
          <w:rFonts w:ascii="Times New Roman" w:eastAsia="Cambria Math" w:hAnsi="Times New Roman" w:cs="Times New Roman"/>
          <w:iCs/>
          <w:sz w:val="24"/>
          <w:szCs w:val="24"/>
        </w:rPr>
        <w:t>,</w:t>
      </w:r>
      <w:r w:rsidRPr="00DA4031">
        <w:rPr>
          <w:rFonts w:ascii="Times New Roman" w:eastAsia="Cambria Math" w:hAnsi="Times New Roman" w:cs="Times New Roman"/>
          <w:iCs/>
          <w:sz w:val="24"/>
          <w:szCs w:val="24"/>
          <w:lang w:val="en-US"/>
        </w:rPr>
        <w:t>y</w:t>
      </w:r>
      <w:r w:rsidRPr="00DA4031">
        <w:rPr>
          <w:rFonts w:ascii="Times New Roman" w:eastAsia="Cambria Math" w:hAnsi="Times New Roman" w:cs="Times New Roman"/>
          <w:iCs/>
          <w:sz w:val="24"/>
          <w:szCs w:val="24"/>
        </w:rPr>
        <w:t xml:space="preserve"> и </w:t>
      </w:r>
      <w:r w:rsidRPr="00DA4031">
        <w:rPr>
          <w:rFonts w:ascii="Times New Roman" w:eastAsia="Cambria Math" w:hAnsi="Times New Roman" w:cs="Times New Roman"/>
          <w:iCs/>
          <w:sz w:val="24"/>
          <w:szCs w:val="24"/>
          <w:lang w:val="en-US"/>
        </w:rPr>
        <w:t>z</w:t>
      </w:r>
      <w:r w:rsidRPr="00DA4031">
        <w:rPr>
          <w:rFonts w:ascii="Times New Roman" w:eastAsia="Cambria Math" w:hAnsi="Times New Roman" w:cs="Times New Roman"/>
          <w:iCs/>
          <w:sz w:val="24"/>
          <w:szCs w:val="24"/>
        </w:rPr>
        <w:t xml:space="preserve"> соответственно,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i0</m:t>
            </m:r>
          </m:sub>
        </m:sSub>
      </m:oMath>
      <w:r w:rsidRPr="00DA4031">
        <w:rPr>
          <w:rFonts w:ascii="Times New Roman" w:eastAsia="Cambria Math" w:hAnsi="Times New Roman" w:cs="Times New Roman"/>
          <w:sz w:val="24"/>
          <w:szCs w:val="24"/>
        </w:rPr>
        <w:t>,</w:t>
      </w:r>
      <w:r w:rsidRPr="00DA40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A4031">
        <w:rPr>
          <w:rFonts w:ascii="Times New Roman" w:eastAsia="Cambria Math" w:hAnsi="Times New Roman" w:cs="Times New Roman"/>
          <w:iCs/>
          <w:sz w:val="24"/>
          <w:szCs w:val="24"/>
        </w:rPr>
        <w:t xml:space="preserve">отвечают за внутренний рост компаний в то время как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DA4031">
        <w:rPr>
          <w:rFonts w:ascii="Times New Roman" w:eastAsia="Cambria Math" w:hAnsi="Times New Roman" w:cs="Times New Roman"/>
          <w:sz w:val="24"/>
          <w:szCs w:val="24"/>
        </w:rPr>
        <w:t xml:space="preserve"> показывают взаимодействие и могут быть: положительными, отрицательными или нулевыми и будут отражать, взаимодействуют ли компании с точки зрения хищничества, конкуренции, мутуализма или нет вообще.</w:t>
      </w:r>
    </w:p>
    <w:p w14:paraId="0770901C" w14:textId="77777777" w:rsidR="00F50EB5" w:rsidRPr="007D223A" w:rsidRDefault="00000000" w:rsidP="00F50EB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=x(-3.86∙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+3.86∙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∙x+3.877∙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∙y+3.861∙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∙z)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=y(2.477∙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-2.477∙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∙x-2.474∙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∙y-2.48∙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∙z)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=z(4.247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-4.248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x-4.247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y-4.248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z)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(2)</m:t>
          </m:r>
        </m:oMath>
      </m:oMathPara>
    </w:p>
    <w:p w14:paraId="04554769" w14:textId="77777777" w:rsidR="00F50EB5" w:rsidRPr="007045DE" w:rsidRDefault="00F50EB5" w:rsidP="00F50EB5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r w:rsidRPr="00DA4031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lastRenderedPageBreak/>
        <w:t xml:space="preserve">Проведен анализа </w:t>
      </w: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полученной </w:t>
      </w:r>
      <w:r w:rsidRPr="00DA4031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математической модели составлен и осуществлен прогноз долей рынка для </w:t>
      </w:r>
      <w:r w:rsidRPr="00DA4031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агрегаторов </w:t>
      </w:r>
      <w:r w:rsidRPr="00DA4031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такси на территории России (2023, 2024 гг.). </w:t>
      </w: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Использование численных методов </w:t>
      </w:r>
      <w:r w:rsidRPr="0030011E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[</w:t>
      </w:r>
      <w:r w:rsidRPr="00B32D5E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5</w:t>
      </w:r>
      <w:r w:rsidRPr="0030011E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дает возможность получить решение системы уравнений (2) и осуществить прогноз поведения рассматриваемых агрегаторов такси.</w:t>
      </w:r>
      <w:r w:rsidRPr="007045DE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На рис.1. показана динамика изменения доли рынка для рассматриваемых агрегаторов такси, полученная на основе решения системы (2).</w:t>
      </w:r>
    </w:p>
    <w:p w14:paraId="56A13453" w14:textId="77777777" w:rsidR="00F50EB5" w:rsidRDefault="00F50EB5" w:rsidP="00F50EB5">
      <w:pPr>
        <w:spacing w:after="0" w:line="240" w:lineRule="auto"/>
        <w:jc w:val="center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5077D315" wp14:editId="65A30F95">
            <wp:extent cx="3995875" cy="3296756"/>
            <wp:effectExtent l="0" t="0" r="5080" b="0"/>
            <wp:docPr id="17903785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648" cy="331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424D" w14:textId="77777777" w:rsidR="00F50EB5" w:rsidRDefault="00F50EB5" w:rsidP="00F50EB5">
      <w:pPr>
        <w:spacing w:after="0" w:line="240" w:lineRule="auto"/>
        <w:jc w:val="center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Рисунок 1 Изменение доли рынка, занимаемой соответствующим агрегатором такси </w:t>
      </w:r>
    </w:p>
    <w:p w14:paraId="0B3937E7" w14:textId="77777777" w:rsidR="00F50EB5" w:rsidRPr="00DA4031" w:rsidRDefault="00F50EB5" w:rsidP="00F50EB5">
      <w:pPr>
        <w:spacing w:after="0" w:line="240" w:lineRule="auto"/>
        <w:jc w:val="center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</w:p>
    <w:p w14:paraId="2D2247AD" w14:textId="1F3FDC1E" w:rsidR="00F50EB5" w:rsidRDefault="00F50EB5" w:rsidP="00F50EB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r w:rsidRPr="00DA4031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Однако, в силу сильного влияния внешних условий (неопределённость в мировой экономике, включая внешние шоки, политические события, изменение инвестиционной составляющей) на динамику развития данных компаний не дает возможности осуществить точный прогноз</w:t>
      </w:r>
      <w:r w:rsidR="00A46B04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на длительный период времени</w:t>
      </w:r>
      <w:r w:rsidR="00A46B04" w:rsidRPr="00DA4031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,</w:t>
      </w:r>
      <w:r w:rsidR="00A46B04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но прогноз на год достаточно точен и имеет отклонение меньше 5%</w:t>
      </w:r>
      <w:r w:rsidRPr="00DA4031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.</w:t>
      </w:r>
    </w:p>
    <w:p w14:paraId="17248404" w14:textId="77777777" w:rsidR="00F50EB5" w:rsidRPr="00B018E3" w:rsidRDefault="00F50EB5" w:rsidP="00F50EB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</w:p>
    <w:p w14:paraId="6EE94635" w14:textId="77777777" w:rsidR="00F50EB5" w:rsidRPr="00DA4031" w:rsidRDefault="00F50EB5" w:rsidP="00F50EB5">
      <w:pPr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r w:rsidRPr="00DA4031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Используемые источники</w:t>
      </w:r>
    </w:p>
    <w:p w14:paraId="06376305" w14:textId="77777777" w:rsidR="00F50EB5" w:rsidRDefault="00F50EB5" w:rsidP="00F50EB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1. </w:t>
      </w:r>
      <w:r w:rsidRPr="00B32D5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Устойчивое развитие и угрозы экономической безопасности / С. Н. Митяков, Д. Н. </w:t>
      </w:r>
      <w:proofErr w:type="spellStart"/>
      <w:r w:rsidRPr="00B32D5E">
        <w:rPr>
          <w:rFonts w:ascii="Times New Roman" w:eastAsiaTheme="minorEastAsia" w:hAnsi="Times New Roman" w:cs="Times New Roman"/>
          <w:color w:val="000000"/>
          <w:sz w:val="24"/>
          <w:szCs w:val="24"/>
        </w:rPr>
        <w:t>Лапаев</w:t>
      </w:r>
      <w:proofErr w:type="spellEnd"/>
      <w:r w:rsidRPr="00B32D5E">
        <w:rPr>
          <w:rFonts w:ascii="Times New Roman" w:eastAsiaTheme="minorEastAsia" w:hAnsi="Times New Roman" w:cs="Times New Roman"/>
          <w:color w:val="000000"/>
          <w:sz w:val="24"/>
          <w:szCs w:val="24"/>
        </w:rPr>
        <w:t>, Л. Ю. Катаева, С. А. Рамазанов // Экономика и предпринимательство. – 2019. – № 10(111). – С. 111-114. – EDN LFGHVR.</w:t>
      </w:r>
    </w:p>
    <w:p w14:paraId="15DE6726" w14:textId="77777777" w:rsidR="00F50EB5" w:rsidRPr="00B32D5E" w:rsidRDefault="00F50EB5" w:rsidP="00F50EB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32D5E">
        <w:rPr>
          <w:rFonts w:ascii="Times New Roman" w:eastAsiaTheme="minorEastAsia" w:hAnsi="Times New Roman" w:cs="Times New Roman"/>
          <w:color w:val="000000"/>
          <w:sz w:val="24"/>
          <w:szCs w:val="24"/>
        </w:rPr>
        <w:t>2. Оперативный мониторинг экономической безопасности России / С. Н. Митяков, Л. Ю. Катаева, Е. С. Митяков, С. А. Рамазанов // Инновационное развитие экономики. – 2019. – № 5-2(53). – С. 213-223. – EDN LRUNWI.</w:t>
      </w:r>
    </w:p>
    <w:p w14:paraId="1027D65A" w14:textId="77777777" w:rsidR="00F50EB5" w:rsidRPr="0030011E" w:rsidRDefault="00F50EB5" w:rsidP="00F50EB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32D5E">
        <w:rPr>
          <w:rFonts w:ascii="Times New Roman" w:eastAsiaTheme="minorEastAsia" w:hAnsi="Times New Roman" w:cs="Times New Roman"/>
          <w:color w:val="000000"/>
          <w:sz w:val="24"/>
          <w:szCs w:val="24"/>
        </w:rPr>
        <w:t>3</w:t>
      </w:r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. База нормативных документов и законодательных актов. </w:t>
      </w:r>
      <w:proofErr w:type="gram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URL</w:t>
      </w:r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>::</w:t>
      </w:r>
      <w:proofErr w:type="gramEnd"/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hyperlink r:id="rId6" w:history="1"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  <w:lang w:val="en-US"/>
          </w:rPr>
          <w:t>https</w:t>
        </w:r>
        <w:r w:rsidRPr="0030011E">
          <w:rPr>
            <w:rStyle w:val="a3"/>
            <w:rFonts w:ascii="Times New Roman" w:eastAsiaTheme="minorEastAsia" w:hAnsi="Times New Roman" w:cs="Times New Roman"/>
            <w:sz w:val="24"/>
            <w:szCs w:val="24"/>
          </w:rPr>
          <w:t>://</w:t>
        </w:r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  <w:lang w:val="en-US"/>
          </w:rPr>
          <w:t>e</w:t>
        </w:r>
        <w:r w:rsidRPr="0030011E">
          <w:rPr>
            <w:rStyle w:val="a3"/>
            <w:rFonts w:ascii="Times New Roman" w:eastAsiaTheme="minorEastAsia" w:hAnsi="Times New Roman" w:cs="Times New Roman"/>
            <w:sz w:val="24"/>
            <w:szCs w:val="24"/>
          </w:rPr>
          <w:t>-</w:t>
        </w:r>
        <w:proofErr w:type="spellStart"/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  <w:lang w:val="en-US"/>
          </w:rPr>
          <w:t>ecolog</w:t>
        </w:r>
        <w:proofErr w:type="spellEnd"/>
        <w:r w:rsidRPr="0030011E">
          <w:rPr>
            <w:rStyle w:val="a3"/>
            <w:rFonts w:ascii="Times New Roman" w:eastAsiaTheme="minorEastAsia" w:hAnsi="Times New Roman" w:cs="Times New Roman"/>
            <w:sz w:val="24"/>
            <w:szCs w:val="24"/>
          </w:rPr>
          <w:t>.</w:t>
        </w:r>
        <w:proofErr w:type="spellStart"/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  <w:lang w:val="en-US"/>
          </w:rPr>
          <w:t>ru</w:t>
        </w:r>
        <w:proofErr w:type="spellEnd"/>
        <w:r w:rsidRPr="0030011E">
          <w:rPr>
            <w:rStyle w:val="a3"/>
            <w:rFonts w:ascii="Times New Roman" w:eastAsiaTheme="minorEastAsia" w:hAnsi="Times New Roman" w:cs="Times New Roman"/>
            <w:sz w:val="24"/>
            <w:szCs w:val="24"/>
          </w:rPr>
          <w:t>/</w:t>
        </w:r>
      </w:hyperlink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дата обращения 16.11.2023</w:t>
      </w:r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</w:p>
    <w:p w14:paraId="6357015A" w14:textId="77777777" w:rsidR="00F50EB5" w:rsidRPr="0030011E" w:rsidRDefault="00F50EB5" w:rsidP="00F50EB5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018E3">
        <w:rPr>
          <w:rFonts w:ascii="Times New Roman" w:eastAsiaTheme="minorEastAsia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. </w:t>
      </w:r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Бухгалтерский учет. Налоги. Аудит. </w:t>
      </w:r>
      <w:proofErr w:type="gram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URL</w:t>
      </w:r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>::</w:t>
      </w:r>
      <w:proofErr w:type="gramEnd"/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hyperlink r:id="rId7" w:history="1"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  <w:lang w:val="en-US"/>
          </w:rPr>
          <w:t>https</w:t>
        </w:r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</w:rPr>
          <w:t>://</w:t>
        </w:r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  <w:lang w:val="en-US"/>
          </w:rPr>
          <w:t>www</w:t>
        </w:r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</w:rPr>
          <w:t>.</w:t>
        </w:r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  <w:lang w:val="en-US"/>
          </w:rPr>
          <w:t>audit</w:t>
        </w:r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</w:rPr>
          <w:t>-</w:t>
        </w:r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  <w:lang w:val="en-US"/>
          </w:rPr>
          <w:t>it</w:t>
        </w:r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</w:rPr>
          <w:t>.</w:t>
        </w:r>
        <w:proofErr w:type="spellStart"/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  <w:lang w:val="en-US"/>
          </w:rPr>
          <w:t>ru</w:t>
        </w:r>
        <w:proofErr w:type="spellEnd"/>
        <w:r w:rsidRPr="00265EE9">
          <w:rPr>
            <w:rStyle w:val="a3"/>
            <w:rFonts w:ascii="Times New Roman" w:eastAsiaTheme="minorEastAsia" w:hAnsi="Times New Roman" w:cs="Times New Roman"/>
            <w:sz w:val="24"/>
            <w:szCs w:val="24"/>
          </w:rPr>
          <w:t>/</w:t>
        </w:r>
      </w:hyperlink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дата обращения 16.11.2023</w:t>
      </w:r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</w:p>
    <w:p w14:paraId="3B0181A3" w14:textId="69DD9CBE" w:rsidR="00CC04AF" w:rsidRPr="00CE3632" w:rsidRDefault="00F50EB5" w:rsidP="00CE3632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32D5E">
        <w:rPr>
          <w:rFonts w:ascii="Times New Roman" w:eastAsiaTheme="minorEastAsia" w:hAnsi="Times New Roman" w:cs="Times New Roman"/>
          <w:color w:val="000000"/>
          <w:sz w:val="24"/>
          <w:szCs w:val="24"/>
        </w:rPr>
        <w:t>5</w:t>
      </w:r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>. Масленников, Д.А. Применение численных методов для решения прикладных задач экономики: учебное пособие / </w:t>
      </w:r>
      <w:hyperlink r:id="rId8" w:history="1">
        <w:r w:rsidRPr="0030011E"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t>Д. А. Масленников</w:t>
        </w:r>
      </w:hyperlink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>, </w:t>
      </w:r>
      <w:hyperlink r:id="rId9" w:history="1">
        <w:r w:rsidRPr="0030011E"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t>М. Н. Ильичева</w:t>
        </w:r>
      </w:hyperlink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>, </w:t>
      </w:r>
      <w:hyperlink r:id="rId10" w:history="1">
        <w:r w:rsidRPr="0030011E"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t>Л. Ю. Катаева</w:t>
        </w:r>
      </w:hyperlink>
      <w:r w:rsidRPr="0030011E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. - Нижний Новгород: Нижегородский государственный технический университет им. Р.Е. Алексеева, 2018. - 187 с. </w:t>
      </w:r>
    </w:p>
    <w:sectPr w:rsidR="00CC04AF" w:rsidRPr="00CE3632" w:rsidSect="009F48AF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ED"/>
    <w:rsid w:val="00A46B04"/>
    <w:rsid w:val="00CC04AF"/>
    <w:rsid w:val="00CE3632"/>
    <w:rsid w:val="00D62FED"/>
    <w:rsid w:val="00F5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EF52"/>
  <w15:chartTrackingRefBased/>
  <w15:docId w15:val="{5D34A9D1-5C6C-45B9-AE0D-1B1A48C8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0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author_items.asp?refid=1052084860&amp;fam=%D0%9C%D0%B0%D1%81%D0%BB%D0%B5%D0%BD%D0%BD%D0%B8%D0%BA%D0%BE%D0%B2&amp;init=%D0%94+%D0%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udit-it.r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-ecolog.ru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elibrary.ru/author_items.asp?refid=1052084860&amp;fam=%D0%9A%D0%B0%D1%82%D0%B0%D0%B5%D0%B2%D0%B0&amp;init=%D0%9B+%D0%A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library.ru/author_items.asp?refid=1052084860&amp;fam=%D0%98%D0%BB%D1%8C%D0%B8%D1%87%D0%B5%D0%B2%D0%B0&amp;init=%D0%9C+%D0%9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4</cp:revision>
  <dcterms:created xsi:type="dcterms:W3CDTF">2023-11-16T15:59:00Z</dcterms:created>
  <dcterms:modified xsi:type="dcterms:W3CDTF">2023-11-17T13:35:00Z</dcterms:modified>
</cp:coreProperties>
</file>