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Clinical Study Protocol CX-201 - Formatting</w:t>
      </w:r>
    </w:p>
    <w:p>
      <w:pPr>
        <w:pStyle w:val="Heading1"/>
      </w:pPr>
      <w:r>
        <w:t xml:space="preserve">Storage and Handling</w:t>
      </w:r>
    </w:p>
    <w:p>
      <w:r>
        <w:t xml:space="preserve">The study drug </w:t>
      </w:r>
      <w:r>
        <w:rPr>
          <w:b/>
        </w:rPr>
        <w:t xml:space="preserve">must</w:t>
      </w:r>
      <w:r>
        <w:t xml:space="preserve"> be stored below 25 °C.</w:t>
      </w:r>
    </w:p>
    <w:p>
      <w:r>
        <w:t xml:space="preserve">Report all serious adverse events within 24 hours.</w:t>
      </w:r>
    </w:p>
    <w:p>
      <w:r>
        <w:rPr>
          <w:rFonts w:ascii="Arial" w:hAnsi="Arial"/>
          <w:sz w:val="24"/>
        </w:rPr>
        <w:t xml:space="preserve">Keep the carton closed until use.</w:t>
      </w:r>
    </w:p>
    <w:p>
      <w:pPr>
        <w:jc w:val="center"/>
      </w:pPr>
      <w:r>
        <w:t xml:space="preserve">Do not freeze.</w:t>
      </w:r>
    </w:p>
    <w:p>
      <w:pPr>
        <w:spacing w:before="0" w:after="360"/>
        <w:ind w:left="720"/>
      </w:pPr>
      <w:r>
        <w:t xml:space="preserve">Protect from light.</w:t>
      </w:r>
    </w:p>
    <w:p>
      <w:pPr>
        <w:pStyle w:val="Heading1"/>
      </w:pPr>
      <w:r>
        <w:t xml:space="preserve">Equivalent Formatting</w:t>
      </w:r>
    </w:p>
    <w:p>
      <w:r>
        <w:rPr>
          <w:b/>
        </w:rPr>
        <w:t xml:space="preserve">Only trained staff may prepare the infusion.</w:t>
      </w:r>
    </w:p>
    <w:p>
      <w:r>
        <w:t xml:space="preserve">Read the </w:t>
      </w:r>
      <w:r>
        <w:rPr>
          <w:i/>
        </w:rPr>
        <w:t xml:space="preserve">pharmacy manual</w:t>
      </w:r>
      <w:r>
        <w:t xml:space="preserve"> first.</w:t>
      </w:r>
    </w:p>
    <w:p>
      <w:r>
        <w:rPr>
          <w:i/>
        </w:rPr>
        <w:t xml:space="preserve">Visits</w:t>
      </w:r>
      <w:r>
        <w:t xml:space="preserve"> occur every 6 weeks during </w:t>
      </w:r>
      <w:r>
        <w:rPr>
          <w:highlight w:val="yellow"/>
        </w:rPr>
        <w:t xml:space="preserve">treatment</w:t>
      </w:r>
      <w:r>
        <w:t xml:space="preserve">.</w:t>
      </w:r>
    </w:p>
    <w:p>
      <w:pPr>
        <w:pStyle w:val="Heading1"/>
      </w:pPr>
      <w:r>
        <w:t xml:space="preserve">Lists and Tables</w:t>
      </w:r>
    </w:p>
    <w:p>
      <w:pPr>
        <w:pStyle w:val="ListParagraph"/>
        <w:numPr>
          <w:ilvl w:val="0"/>
          <w:numId w:val="1"/>
        </w:numPr>
      </w:pPr>
      <w:r>
        <w:t xml:space="preserve">Check the expiry date.</w:t>
      </w:r>
    </w:p>
    <w:p>
      <w:pPr>
        <w:pStyle w:val="ListParagraph"/>
        <w:numPr>
          <w:ilvl w:val="0"/>
          <w:numId w:val="1"/>
        </w:numPr>
      </w:pPr>
      <w:r>
        <w:t xml:space="preserve">Inspect the vial.</w:t>
      </w:r>
    </w:p>
    <w:p>
      <w:pPr>
        <w:pStyle w:val="ListParagraph"/>
        <w:numPr>
          <w:ilvl w:val="0"/>
          <w:numId w:val="1"/>
        </w:numPr>
      </w:pPr>
      <w:r>
        <w:t xml:space="preserve">Record the batch number.</w:t>
      </w:r>
    </w:p>
    <w:tbl>
      <w:tblPr>
        <w:tblStyle w:val="LightList"/>
        <w:tblW w:w="8000" w:type="dxa"/>
        <w:tblLook w:val="04A0" w:firstRow="1" w:lastRow="0" w:firstColumn="1" w:lastColumn="0" w:noHBand="0" w:noVBand="1"/>
      </w:tblPr>
      <w:tblGrid>
        <w:gridCol w:w="4000"/>
        <w:gridCol w:w="4000"/>
      </w:tblGrid>
      <w:tr>
        <w:trPr>
          <w:tblHeader/>
        </w:trPr>
        <w:tc>
          <w:tcPr>
            <w:tcW w:w="4000" w:type="dxa"/>
            <w:shd w:val="clear" w:color="auto" w:fill="D9E2F3"/>
          </w:tcPr>
          <w:p>
            <w:r>
              <w:rPr>
                <w:b/>
              </w:rPr>
              <w:t xml:space="preserve">Parameter</w:t>
            </w:r>
          </w:p>
        </w:tc>
        <w:tc>
          <w:tcPr>
            <w:tcW w:w="4000" w:type="dxa"/>
            <w:shd w:val="clear" w:color="auto" w:fill="D9E2F3"/>
          </w:tcPr>
          <w:p>
            <w:r>
              <w:rPr>
                <w:b/>
              </w:rPr>
              <w:t xml:space="preserve">Limit</w:t>
            </w:r>
          </w:p>
        </w:tc>
      </w:tr>
      <w:tr>
        <w:tc>
          <w:tcPr>
            <w:tcW w:w="4000" w:type="dxa"/>
          </w:tcPr>
          <w:p>
            <w:r>
              <w:t xml:space="preserve">Temperature</w:t>
            </w:r>
          </w:p>
        </w:tc>
        <w:tc>
          <w:tcPr>
            <w:tcW w:w="4000" w:type="dxa"/>
          </w:tcPr>
          <w:p>
            <w:r>
              <w:t xml:space="preserve">2–8 °C</w:t>
            </w:r>
          </w:p>
        </w:tc>
      </w:tr>
      <w:tr>
        <w:tc>
          <w:tcPr>
            <w:tcW w:w="4000" w:type="dxa"/>
          </w:tcPr>
          <w:p>
            <w:r>
              <w:t xml:space="preserve">Humidity</w:t>
            </w:r>
          </w:p>
        </w:tc>
        <w:tc>
          <w:tcPr>
            <w:tcW w:w="4000" w:type="dxa"/>
          </w:tcPr>
          <w:p>
            <w:r>
              <w:t xml:space="preserve">Below 60 %</w:t>
            </w:r>
          </w:p>
        </w:tc>
      </w:tr>
    </w:tbl>
    <w:p>
      <w:r>
        <w:t xml:space="preserve">End of formatting examples.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 Light" w:hAnsi="Calibri Light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i/>
      <w:color w:val="2F5496"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Caption">
    <w:name w:val="caption"/>
    <w:basedOn w:val="Normal"/>
    <w:next w:val="Normal"/>
    <w:qFormat/>
    <w:rPr>
      <w:i/>
      <w:color w:val="44546A"/>
      <w:sz w:val="18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Header">
    <w:name w:val="header"/>
    <w:basedOn w:val="Normal"/>
    <w:pPr>
      <w:spacing w:after="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rongNote">
    <w:name w:val="Strong Note"/>
    <w:basedOn w:val="Normal"/>
    <w:rPr>
      <w:b/>
    </w:rPr>
  </w:style>
  <w:style w:type="character" w:styleId="Emphasis">
    <w:name w:val="Emphasis"/>
    <w:rPr>
      <w:i/>
    </w:rPr>
  </w:style>
  <w:style w:type="table" w:styleId="LightList">
    <w:name w:val="Light List"/>
    <w:basedOn w:val="TableNormal"/>
    <w:tblPr>
      <w:tblBorders>
        <w:top w:val="single" w:sz="8" w:space="0" w:color="000000"/>
        <w:bottom w:val="single" w:sz="8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16-formatting_new.docx</dc:title>
  <dc:creator>docdiff test generator</dc:creator>
  <dcterms:created xsi:type="dcterms:W3CDTF">2026-09-01T10:00:00Z</dcterms:created>
</cp:coreProperties>
</file>