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v="urn:schemas-microsoft-com:vml" xmlns:o="urn:schemas-microsoft-com:office:office">
  <w:body>
    <w:p>
      <w:pPr>
        <w:pStyle w:val="Title"/>
      </w:pPr>
      <w:r>
        <w:t xml:space="preserve">Clinical Study Protocol CX-201 - Notes and Links</w:t>
      </w:r>
    </w:p>
    <w:p>
      <w:pPr>
        <w:pStyle w:val="Heading1"/>
      </w:pPr>
      <w:bookmarkStart w:id="102" w:name="_RefPrep"/>
      <w:r>
        <w:t xml:space="preserve">Preparation</w:t>
      </w:r>
      <w:bookmarkEnd w:id="102"/>
    </w:p>
    <w:p>
      <w:r>
        <w:t xml:space="preserve">Dilute the concentrate in 500 mL of saline before use.</w:t>
      </w:r>
    </w:p>
    <w:p>
      <w:r>
        <w:t xml:space="preserve">Infuse over 90 minutes</w:t>
      </w:r>
      <w:r>
        <w:rPr>
          <w:rStyle w:val="FootnoteReference"/>
        </w:rPr>
        <w:footnoteReference w:id="1"/>
      </w:r>
      <w:r>
        <w:t xml:space="preserve">.</w:t>
      </w:r>
    </w:p>
    <w:p>
      <w:r>
        <w:t xml:space="preserve">Follow all steps in </w:t>
      </w:r>
      <w:r>
        <w:fldChar w:fldCharType="begin"/>
      </w:r>
      <w:r>
        <w:instrText xml:space="preserve"> REF _RefPrep \h </w:instrText>
      </w:r>
      <w:r>
        <w:fldChar w:fldCharType="separate"/>
      </w:r>
      <w:r>
        <w:t xml:space="preserve">Preparation</w:t>
      </w:r>
      <w:r>
        <w:fldChar w:fldCharType="end"/>
      </w:r>
      <w:r>
        <w:t xml:space="preserve"> before each dose.</w:t>
      </w:r>
    </w:p>
    <w:p>
      <w:pPr>
        <w:pStyle w:val="Heading1"/>
      </w:pPr>
      <w:r>
        <w:t xml:space="preserve">Disposal</w:t>
      </w:r>
    </w:p>
    <w:p>
      <w:r>
        <w:t xml:space="preserve">Used vials are destroyed on site.</w:t>
      </w:r>
    </w:p>
    <w:p>
      <w:r>
        <w:t xml:space="preserve">Destruction is documented on the accountability log.</w:t>
      </w:r>
    </w:p>
    <w:p>
      <w:r>
        <w:t xml:space="preserve">Questions: see the </w:t>
      </w:r>
      <w:hyperlink r:id="rIdLink1">
        <w:r>
          <w:rPr>
            <w:rStyle w:val="Hyperlink"/>
          </w:rPr>
          <w:t xml:space="preserve">FAQ</w:t>
        </w:r>
      </w:hyperlink>
      <w:r>
        <w:t xml:space="preserve">.</w:t>
      </w:r>
    </w:p>
    <w:p>
      <w:r>
        <w:pict>
          <v:shape id="TextBox5" type="#_x0000_t202" style="width:220pt;height:36pt">
            <v:textbox>
              <w:txbxContent>
                <w:p>
                  <w:r>
                    <w:t xml:space="preserve">Keep out of the reach and sight of children.</w:t>
                  </w:r>
                </w:p>
              </w:txbxContent>
            </v:textbox>
          </v:shape>
        </w:pict>
      </w:r>
    </w:p>
    <w:p>
      <w:r>
        <w:t xml:space="preserve">End of manual.</w:t>
      </w:r>
    </w:p>
    <w:sectPr>
      <w:headerReference w:type="default" r:id="rIdHdr"/>
      <w:pgSz w:w="12240" w:h="15840"/>
      <w:pgMar w:top="1440" w:right="1440" w:bottom="1440" w:left="1440" w:header="720" w:footer="720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Infusion pumps must be calibrated every six months.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t xml:space="preserve">CX-201 Pharmacy Manual - Version 2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Link1" Type="http://schemas.openxmlformats.org/officeDocument/2006/relationships/hyperlink" Target="https://example.com/faq-2026" TargetMode="External"/><Relationship Id="rIdFootnotes" Type="http://schemas.openxmlformats.org/officeDocument/2006/relationships/footnotes" Target="footnotes.xml"/><Relationship Id="rIdHdr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17-notes-links-images_new.docx</dc:title>
  <dc:subject>Pharmacy manual (revised)</dc:subject>
  <dc:creator>docdiff test generator</dc:creator>
  <dcterms:created xsi:type="dcterms:W3CDTF">2026-09-01T10:00:00Z</dcterms:created>
</cp:coreProperties>
</file>