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o="urn:schemas-microsoft-com:office:office">
  <w:body>
    <w:p>
      <w:pPr>
        <w:pStyle w:val="Title"/>
      </w:pPr>
      <w:r>
        <w:t xml:space="preserve">Clinical Study Protocol CX-201 - Notes and Links</w:t>
      </w:r>
    </w:p>
    <w:p>
      <w:pPr>
        <w:pStyle w:val="Heading1"/>
      </w:pPr>
      <w:bookmarkStart w:id="101" w:name="_RefPrep"/>
      <w:r>
        <w:t xml:space="preserve">Preparation</w:t>
      </w:r>
      <w:bookmarkEnd w:id="101"/>
    </w:p>
    <w:p>
      <w:r>
        <w:t xml:space="preserve">Dilute the concentrate in 250 mL of saline</w:t>
      </w:r>
      <w:r>
        <w:rPr>
          <w:rStyle w:val="FootnoteReference"/>
        </w:rPr>
        <w:footnoteReference w:id="1"/>
      </w:r>
      <w:r>
        <w:t xml:space="preserve"> before use.</w:t>
      </w:r>
    </w:p>
    <w:p>
      <w:r>
        <w:t xml:space="preserve">Infuse over 60 minutes</w:t>
      </w:r>
      <w:r>
        <w:rPr>
          <w:rStyle w:val="FootnoteReference"/>
        </w:rPr>
        <w:footnoteReference w:id="2"/>
      </w:r>
      <w:r>
        <w:t xml:space="preserve">.</w:t>
      </w:r>
    </w:p>
    <w:p>
      <w:r>
        <w:t xml:space="preserve">Prepared solutions are stable for 24 hours</w:t>
      </w:r>
      <w:r>
        <w:rPr>
          <w:rStyle w:val="FootnoteReference"/>
        </w:rPr>
        <w:footnoteReference w:id="3"/>
      </w:r>
      <w:r>
        <w:t xml:space="preserve">. Details are on the </w:t>
      </w:r>
      <w:hyperlink r:id="rIdLink1">
        <w:r>
          <w:rPr>
            <w:rStyle w:val="Hyperlink"/>
          </w:rPr>
          <w:t xml:space="preserve">handling page</w:t>
        </w:r>
      </w:hyperlink>
      <w:r>
        <w:t xml:space="preserve">.</w:t>
      </w:r>
    </w:p>
    <w:p>
      <w:pPr>
        <w:jc w:val="center"/>
      </w:pPr>
      <w:r>
        <w:drawing>
          <wp:inline distT="0" distB="0" distL="0" distR="0">
            <wp:extent cx="18288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2. Infusion set-up.</w:t>
      </w:r>
    </w:p>
    <w:p>
      <w:r>
        <w:t xml:space="preserve">The dose is calculated as </w:t>
      </w:r>
      <m:oMath>
        <m:r>
          <m:t>Dose = BSA × 75</m:t>
        </m:r>
      </m:oMath>
      <w:r>
        <w:t xml:space="preserve">.</w:t>
      </w:r>
    </w:p>
    <w:p>
      <w:r>
        <w:t xml:space="preserve">Follow the steps in </w:t>
      </w:r>
      <w:r>
        <w:fldChar w:fldCharType="begin"/>
      </w:r>
      <w:r>
        <w:instrText xml:space="preserve"> REF _RefPrep \h </w:instrText>
      </w:r>
      <w:r>
        <w:fldChar w:fldCharType="separate"/>
      </w:r>
      <w:r>
        <w:t xml:space="preserve">Preparation</w:t>
      </w:r>
      <w:r>
        <w:fldChar w:fldCharType="end"/>
      </w:r>
      <w:r>
        <w:t xml:space="preserve"> before each dose.</w:t>
      </w:r>
    </w:p>
    <w:p>
      <w:pPr>
        <w:pStyle w:val="Heading1"/>
      </w:pPr>
      <w:r>
        <w:t xml:space="preserve">Disposal</w:t>
      </w:r>
    </w:p>
    <w:p>
      <w:r>
        <w:t xml:space="preserve">Return used vials as described in </w:t>
      </w:r>
      <w:r>
        <w:fldChar w:fldCharType="begin"/>
      </w:r>
      <w:r>
        <w:instrText xml:space="preserve"> REF _RefReturns \h </w:instrText>
      </w:r>
      <w:r>
        <w:fldChar w:fldCharType="separate"/>
      </w:r>
      <w:r>
        <w:t xml:space="preserve">Returns</w:t>
      </w:r>
      <w:r>
        <w:fldChar w:fldCharType="end"/>
      </w:r>
      <w:r>
        <w:t xml:space="preserve">.</w:t>
      </w:r>
    </w:p>
    <w:p>
      <w:pPr>
        <w:pStyle w:val="Heading2"/>
      </w:pPr>
      <w:bookmarkStart w:id="103" w:name="_RefReturns"/>
      <w:r>
        <w:t xml:space="preserve">Returns</w:t>
      </w:r>
      <w:bookmarkEnd w:id="103"/>
    </w:p>
    <w:p>
      <w:r>
        <w:t xml:space="preserve">Used vials go back to the pharmacy in the original carton.</w:t>
      </w:r>
    </w:p>
    <w:p>
      <w:r>
        <w:t xml:space="preserve">Destruction is documented on the accountability log</w:t>
      </w:r>
      <w:r>
        <w:rPr>
          <w:vertAlign w:val="superscript"/>
        </w:rPr>
        <w:endnoteReference w:id="1"/>
      </w:r>
      <w:r>
        <w:t xml:space="preserve">.</w:t>
      </w:r>
    </w:p>
    <w:p>
      <w:pPr>
        <w:jc w:val="center"/>
      </w:pPr>
      <w:r>
        <w:drawing>
          <wp:inline distT="0" distB="0" distL="0" distR="0">
            <wp:extent cx="914400" cy="457200"/>
            <wp:docPr id="3" name="Linked logo"/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link="rIdLinked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Questions: see the </w:t>
      </w:r>
      <w:hyperlink r:id="rIdLink4">
        <w:r>
          <w:rPr>
            <w:rStyle w:val="Hyperlink"/>
          </w:rPr>
          <w:t xml:space="preserve">FAQ</w:t>
        </w:r>
      </w:hyperlink>
      <w:r>
        <w:t xml:space="preserve">.</w:t>
      </w:r>
    </w:p>
    <w:p>
      <w:r>
        <w:pict>
          <v:shape id="TextBox4" type="#_x0000_t202" style="width:220pt;height:36pt">
            <v:textbox>
              <w:txbxContent>
                <w:p>
                  <w:r>
                    <w:t xml:space="preserve">Keep out of reach of children.</w:t>
                  </w:r>
                </w:p>
              </w:txbxContent>
            </v:textbox>
          </v:shape>
        </w:pict>
      </w:r>
    </w:p>
    <w:p>
      <w:r>
        <w:t xml:space="preserve">End of manual.</w:t>
      </w:r>
    </w:p>
    <w:sectPr>
      <w:headerReference w:type="default" r:id="rIdHdr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rPr>
          <w:vertAlign w:val="superscript"/>
        </w:rPr>
        <w:endnoteRef/>
      </w:r>
      <w:r>
        <w:t xml:space="preserve"> Local regulations may require a witness.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Use a 0.2 micron in-line filter.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Infusion pumps must be calibrated yearly.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See the stability data at </w:t>
      </w:r>
      <w:hyperlink r:id="rIdFnLink3">
        <w:r>
          <w:rPr>
            <w:rStyle w:val="Hyperlink"/>
          </w:rPr>
          <w:t xml:space="preserve">the sponsor portal</w:t>
        </w:r>
      </w:hyperlink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right"/>
    </w:pPr>
    <w:r>
      <w:t xml:space="preserve">CX-201 Pharmacy Manual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Relationship Id="rIdLink1" Type="http://schemas.openxmlformats.org/officeDocument/2006/relationships/hyperlink" Target="https://example.com/cx201/handling" TargetMode="External"/><Relationship Id="rIdImg1" Type="http://schemas.openxmlformats.org/officeDocument/2006/relationships/image" Target="media/image1.png"/><Relationship Id="rIdLinked3" Type="http://schemas.openxmlformats.org/officeDocument/2006/relationships/image" Target="file:///C:/Logos/sponsor.png" TargetMode="External"/><Relationship Id="rIdLink4" Type="http://schemas.openxmlformats.org/officeDocument/2006/relationships/hyperlink" Target="https://example.com/faq-2025" TargetMode="External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Relationship Id="rIdHdr" Type="http://schemas.openxmlformats.org/officeDocument/2006/relationships/header" Target="header1.xml"/></Relationships>
</file>

<file path=word/_rels/footnotes.xml.rels><?xml version="1.0" encoding="UTF-8" standalone="yes"?>
<Relationships xmlns="http://schemas.openxmlformats.org/package/2006/relationships"><Relationship Id="rIdFnLink3" Type="http://schemas.openxmlformats.org/officeDocument/2006/relationships/hyperlink" Target="https://example.com/cx201/stability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17-notes-links-images_old.docx</dc:title>
  <dc:subject>Pharmacy manual</dc:subject>
  <dc:creator>docdiff test generator</dc:creator>
  <dcterms:created xsi:type="dcterms:W3CDTF">2026-09-01T10:00:00Z</dcterms:created>
</cp:coreProperties>
</file>