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</w:t>
      </w:r>
    </w:p>
    <w:p>
      <w:r>
        <w:t xml:space="preserve">Version 2.0</w:t>
      </w:r>
    </w:p>
    <w:p>
      <w:pPr>
        <w:sectPr>
          <w:headerReference w:type="default" r:id="rIdHF1"/>
          <w:headerReference w:type="first" r:id="rIdHF2"/>
          <w:footerReference w:type="default" r:id="rIdHF3"/>
          <w:pgSz w:w="12240" w:h="15840"/>
          <w:pgMar w:top="1440" w:right="1440" w:bottom="1440" w:left="1440" w:header="720" w:footer="720" w:gutter="0"/>
          <w:cols w:space="720"/>
          <w:titlePg/>
        </w:sectPr>
      </w:pPr>
      <w:r>
        <w:t xml:space="preserve">Date: 2026-09-30</w:t>
      </w:r>
    </w:p>
    <w:p>
      <w:pPr>
        <w:pStyle w:val="Heading1"/>
      </w:pPr>
      <w:r>
        <w:t xml:space="preserve">Introduction</w:t>
      </w:r>
    </w:p>
    <w:p>
      <w:r>
        <w:t xml:space="preserve">Hypertension is a leading risk factor for cardiovascular disease.</w:t>
      </w:r>
    </w:p>
    <w:p>
      <w:r>
        <w:t xml:space="preserve">This protocol describes a 24-week study.</w:t>
      </w:r>
    </w:p>
    <w:p>
      <w:pPr>
        <w:sectPr>
          <w:headerReference w:type="default" r:id="rIdHF1"/>
          <w:footerReference w:type="default" r:id="rIdHF3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Key points follow.</w:t>
      </w:r>
    </w:p>
    <w:p>
      <w:pPr>
        <w:pStyle w:val="ListParagraph"/>
        <w:numPr>
          <w:ilvl w:val="0"/>
          <w:numId w:val="2"/>
        </w:numPr>
      </w:pPr>
      <w:r>
        <w:t xml:space="preserve">Randomized and double-blind.</w:t>
      </w:r>
    </w:p>
    <w:p>
      <w:pPr>
        <w:pStyle w:val="ListParagraph"/>
        <w:numPr>
          <w:ilvl w:val="0"/>
          <w:numId w:val="2"/>
        </w:numPr>
      </w:pPr>
      <w:r>
        <w:t xml:space="preserve">Two treatment arms.</w:t>
      </w:r>
    </w:p>
    <w:p>
      <w:pPr>
        <w:pStyle w:val="ListParagraph"/>
        <w:numPr>
          <w:ilvl w:val="0"/>
          <w:numId w:val="2"/>
        </w:numPr>
        <w:sect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t xml:space="preserve">Primary endpoint at Week 24.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The study is sponsored by Acme Pharma Ltd.</w:t>
      </w:r>
    </w:p>
    <w:p>
      <w:pPr>
        <w:pStyle w:val="Heading1"/>
      </w:pPr>
      <w:r>
        <w:t xml:space="preserve">Schedule of Activities</w:t>
      </w:r>
    </w:p>
    <w:tbl>
      <w:tblPr>
        <w:tblStyle w:val="TableGrid"/>
        <w:tblW w:w="11600" w:type="dxa"/>
        <w:tblLook w:val="04A0" w:firstRow="1" w:lastRow="0" w:firstColumn="1" w:lastColumn="0" w:noHBand="0" w:noVBand="1"/>
      </w:tblPr>
      <w:tblGrid>
        <w:gridCol w:w="2600"/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Screening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Baseline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Week 4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Week 12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Week 24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Follow-up</w:t>
            </w:r>
          </w:p>
        </w:tc>
      </w:tr>
      <w:tr>
        <w:tc>
          <w:tcPr>
            <w:tcW w:w="2600" w:type="dxa"/>
          </w:tcPr>
          <w:p>
            <w:r>
              <w:t xml:space="preserve">Informed consent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2600" w:type="dxa"/>
          </w:tcPr>
          <w:p>
            <w:r>
              <w:t xml:space="preserve">Vital signs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</w:tr>
      <w:tr>
        <w:tc>
          <w:tcPr>
            <w:tcW w:w="2600" w:type="dxa"/>
          </w:tcPr>
          <w:p>
            <w:r>
              <w:t xml:space="preserve">ECG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/>
        </w:tc>
      </w:tr>
    </w:tbl>
    <w:p>
      <w:pPr>
        <w:sectPr>
          <w:headerReference w:type="default" r:id="rIdHF4"/>
          <w:footerReference w:type="default" r:id="rIdHF3"/>
          <w:pgSz w:w="15840" w:h="12240" w:orient="landscape"/>
          <w:pgMar w:top="1440" w:right="1440" w:bottom="1440" w:left="1440" w:header="720" w:footer="720" w:gutter="0"/>
          <w:cols w:space="720"/>
        </w:sectPr>
      </w:pPr>
      <w:r>
        <w:t xml:space="preserve">X = assessment performed.</w:t>
      </w:r>
    </w:p>
    <w:p>
      <w:pPr>
        <w:pStyle w:val="Heading1"/>
      </w:pPr>
      <w:r>
        <w:t xml:space="preserve">Appendix B. Blood Pressure Technique</w:t>
      </w:r>
    </w:p>
    <w:p>
      <w:r>
        <w:t xml:space="preserve">Use an appropriately sized cuff.</w:t>
      </w:r>
    </w:p>
    <w:p>
      <w:r>
        <w:t xml:space="preserve">Take three readings one minute apart.</w:t>
      </w:r>
    </w:p>
    <w:sectPr>
      <w:headerReference w:type="default" r:id="rIdHF5"/>
      <w:headerReference w:type="even" r:id="rIdHF6"/>
      <w:footerReference w:type="default" r:id="rIdHF3"/>
      <w:pgSz w:w="12240" w:h="15840"/>
      <w:pgMar w:top="1440" w:right="1440" w:bottom="1440" w:left="1440" w:header="720" w:footer="720" w:gutter="0"/>
      <w:cols w:space="720"/>
    </w:sectPr>
  </w:body>
</w:document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Protocol v2.0 - Confidential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CX-201 - Cover page</w: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v2.0 - Schedule (landscape)</w: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v2.0 - Appendix B (odd pages)</w: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v2.0 - Appendix B (even pages)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HF1" Type="http://schemas.openxmlformats.org/officeDocument/2006/relationships/header" Target="header1.xml"/><Relationship Id="rIdHF2" Type="http://schemas.openxmlformats.org/officeDocument/2006/relationships/header" Target="header2.xml"/><Relationship Id="rIdHF3" Type="http://schemas.openxmlformats.org/officeDocument/2006/relationships/footer" Target="footer3.xml"/><Relationship Id="rIdHF4" Type="http://schemas.openxmlformats.org/officeDocument/2006/relationships/header" Target="header4.xml"/><Relationship Id="rIdHF5" Type="http://schemas.openxmlformats.org/officeDocument/2006/relationships/header" Target="header5.xml"/><Relationship Id="rIdHF6" Type="http://schemas.openxmlformats.org/officeDocument/2006/relationships/header" Target="header6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09-sections-headers_new.docx</dc:title>
  <dc:creator>docdiff test generator</dc:creator>
  <dcterms:created xsi:type="dcterms:W3CDTF">2026-09-01T10:00:00Z</dcterms:created>
</cp:coreProperties>
</file>