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</w:t>
      </w:r>
    </w:p>
    <w:p>
      <w:r>
        <w:t xml:space="preserve">Version 1.0</w:t>
      </w:r>
    </w:p>
    <w:p>
      <w:pPr>
        <w:sectPr>
          <w:headerReference w:type="default" r:id="rIdHF1"/>
          <w:headerReference w:type="first" r:id="rIdHF2"/>
          <w:footerReference w:type="default" r:id="rIdHF3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 xml:space="preserve">Date: 2026-01-15</w:t>
      </w:r>
    </w:p>
    <w:p>
      <w:pPr>
        <w:pStyle w:val="Heading1"/>
      </w:pPr>
      <w:r>
        <w:t xml:space="preserve">Introduction</w:t>
      </w:r>
    </w:p>
    <w:p>
      <w:r>
        <w:t xml:space="preserve">Hypertension is a leading risk factor for cardiovascular disease.</w:t>
      </w:r>
    </w:p>
    <w:p>
      <w:r>
        <w:t xml:space="preserve">This protocol describes a 12-week study.</w:t>
      </w:r>
    </w:p>
    <w:p>
      <w:pPr>
        <w:sectPr>
          <w:headerReference w:type="default" r:id="rIdHF1"/>
          <w:footerReference w:type="default" r:id="rIdHF3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The study is sponsored by Acme Pharma Ltd.</w:t>
      </w:r>
    </w:p>
    <w:p>
      <w:pPr>
        <w:pStyle w:val="Heading1"/>
      </w:pPr>
      <w:r>
        <w:t xml:space="preserve">Schedule of Activities</w:t>
      </w:r>
    </w:p>
    <w:tbl>
      <w:tblPr>
        <w:tblStyle w:val="TableGrid"/>
        <w:tblW w:w="11600" w:type="dxa"/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Screening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Baseline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4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12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Week 24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Follow-up</w:t>
            </w:r>
          </w:p>
        </w:tc>
      </w:tr>
      <w:tr>
        <w:tc>
          <w:tcPr>
            <w:tcW w:w="2600" w:type="dxa"/>
          </w:tcPr>
          <w:p>
            <w:r>
              <w:t xml:space="preserve">Informed consent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2600" w:type="dxa"/>
          </w:tcPr>
          <w:p>
            <w:r>
              <w:t xml:space="preserve">Vital signs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</w:tr>
      <w:tr>
        <w:tc>
          <w:tcPr>
            <w:tcW w:w="2600" w:type="dxa"/>
          </w:tcPr>
          <w:p>
            <w:r>
              <w:t xml:space="preserve">ECG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>
            <w:r>
              <w:t xml:space="preserve">X</w:t>
            </w:r>
          </w:p>
        </w:tc>
        <w:tc>
          <w:tcPr>
            <w:tcW w:w="1500" w:type="dxa"/>
          </w:tcPr>
          <w:p/>
        </w:tc>
      </w:tr>
    </w:tbl>
    <w:p>
      <w:pPr>
        <w:sectPr>
          <w:headerReference w:type="default" r:id="rIdHF4"/>
          <w:footerReference w:type="default" r:id="rIdHF3"/>
          <w:pgSz w:w="15840" w:h="12240" w:orient="landscape"/>
          <w:pgMar w:top="1440" w:right="1440" w:bottom="1440" w:left="1440" w:header="720" w:footer="720" w:gutter="0"/>
          <w:cols w:space="720"/>
        </w:sectPr>
      </w:pPr>
      <w:r>
        <w:t xml:space="preserve">X = assessment performed.</w:t>
      </w:r>
    </w:p>
    <w:p>
      <w:pPr>
        <w:pStyle w:val="Heading1"/>
      </w:pPr>
      <w:r>
        <w:t xml:space="preserve">References</w:t>
      </w:r>
    </w:p>
    <w:p>
      <w:r>
        <w:t xml:space="preserve">1. Whelton PK, et al. Hypertension guideline. 2017.</w:t>
      </w:r>
    </w:p>
    <w:p>
      <w:r>
        <w:t xml:space="preserve">2. Williams B, et al. ESC/ESH guideline. 2018.</w:t>
      </w:r>
    </w:p>
    <w:sectPr>
      <w:headerReference w:type="default" r:id="rIdHF5"/>
      <w:footerReference w:type="default" r:id="rIdHF3"/>
      <w:pgSz w:w="12240" w:h="15840"/>
      <w:pgMar w:top="1440" w:right="1440" w:bottom="1440" w:left="1440" w:header="720" w:footer="720" w:gutter="0"/>
      <w:cols w:space="720"/>
    </w:sectPr>
  </w:body>
</w:document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Protocol v1.0 - Confidential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CX-201 - Cover page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CX-201 - Schedule (landscape)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v1.0 - References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F1" Type="http://schemas.openxmlformats.org/officeDocument/2006/relationships/header" Target="header1.xml"/><Relationship Id="rIdHF2" Type="http://schemas.openxmlformats.org/officeDocument/2006/relationships/header" Target="header2.xml"/><Relationship Id="rIdHF3" Type="http://schemas.openxmlformats.org/officeDocument/2006/relationships/footer" Target="footer3.xml"/><Relationship Id="rIdHF4" Type="http://schemas.openxmlformats.org/officeDocument/2006/relationships/header" Target="header4.xml"/><Relationship Id="rIdHF5" Type="http://schemas.openxmlformats.org/officeDocument/2006/relationships/header" Target="header5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09-sections-headers_old.docx</dc:title>
  <dc:creator>docdiff test generator</dc:creator>
  <dcterms:created xsi:type="dcterms:W3CDTF">2026-09-01T10:00:00Z</dcterms:created>
</cp:coreProperties>
</file>