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Reordering and Repetition</w:t>
      </w:r>
    </w:p>
    <w:p>
      <w:pPr>
        <w:pStyle w:val="Heading1"/>
      </w:pPr>
      <w:r>
        <w:t xml:space="preserve">Background</w:t>
      </w:r>
    </w:p>
    <w:p>
      <w:pPr>
        <w:pStyle w:val="Heading2"/>
      </w:pPr>
      <w:r>
        <w:t xml:space="preserve">Overview</w:t>
      </w:r>
    </w:p>
    <w:p>
      <w:r>
        <w:t xml:space="preserve">Hypertension affects one in three adults.</w:t>
      </w:r>
    </w:p>
    <w:p>
      <w:r>
        <w:t xml:space="preserve">Many patients remain uncontrolled despite treatment.</w:t>
      </w:r>
    </w:p>
    <w:p>
      <w:r>
        <w:t xml:space="preserve">Compound X is a novel aldosterone synthase inhibitor.</w:t>
      </w:r>
    </w:p>
    <w:p>
      <w:r>
        <w:t xml:space="preserve">See Section 9 for details.</w:t>
      </w:r>
    </w:p>
    <w:p>
      <w:pPr>
        <w:pStyle w:val="Heading1"/>
      </w:pPr>
      <w:r>
        <w:t xml:space="preserve">Rationale</w:t>
      </w:r>
    </w:p>
    <w:p>
      <w:pPr>
        <w:pStyle w:val="Heading2"/>
      </w:pPr>
      <w:r>
        <w:t xml:space="preserve">Overview</w:t>
      </w:r>
    </w:p>
    <w:p>
      <w:r>
        <w:t xml:space="preserve">Aldosterone excess contributes to resistant hypertension.</w:t>
      </w:r>
    </w:p>
    <w:p>
      <w:r>
        <w:t xml:space="preserve">Selective inhibition may avoid cortisol effects.</w:t>
      </w:r>
    </w:p>
    <w:p>
      <w:r>
        <w:t xml:space="preserve">Phase 1 data support once-daily dosing.</w:t>
      </w:r>
    </w:p>
    <w:p>
      <w:r>
        <w:t xml:space="preserve">See Section 9 for details.</w:t>
      </w:r>
    </w:p>
    <w:p>
      <w:pPr>
        <w:pStyle w:val="Heading1"/>
      </w:pPr>
      <w:r>
        <w:t xml:space="preserve">Risks and Benefits</w:t>
      </w:r>
    </w:p>
    <w:p>
      <w:pPr>
        <w:pStyle w:val="Heading2"/>
      </w:pPr>
      <w:r>
        <w:t xml:space="preserve">Overview</w:t>
      </w:r>
    </w:p>
    <w:p>
      <w:r>
        <w:t xml:space="preserve">Hyperkalemia is the main expected risk.</w:t>
      </w:r>
    </w:p>
    <w:p>
      <w:r>
        <w:t xml:space="preserve">Potassium will be monitored at every visit.</w:t>
      </w:r>
    </w:p>
    <w:p>
      <w:r>
        <w:t xml:space="preserve">The expected benefit is a reduction in blood pressure.</w:t>
      </w:r>
    </w:p>
    <w:p>
      <w:r>
        <w:t xml:space="preserve">See Section 9 for details.</w:t>
      </w:r>
    </w:p>
    <w:p>
      <w:pPr>
        <w:pStyle w:val="Heading1"/>
      </w:pPr>
      <w:r>
        <w:t xml:space="preserve">Population</w:t>
      </w:r>
    </w:p>
    <w:p>
      <w:pPr>
        <w:pStyle w:val="Heading2"/>
      </w:pPr>
      <w:r>
        <w:t xml:space="preserve">Overview</w:t>
      </w:r>
    </w:p>
    <w:p>
      <w:r>
        <w:t xml:space="preserve">Adults aged 18 to 75 years are eligible.</w:t>
      </w:r>
    </w:p>
    <w:p>
      <w:r>
        <w:t xml:space="preserve">Participants must have uncontrolled hypertension.</w:t>
      </w:r>
    </w:p>
    <w:p>
      <w:r>
        <w:t xml:space="preserve">Pregnant women are excluded.</w:t>
      </w:r>
    </w:p>
    <w:p>
      <w:r>
        <w:t xml:space="preserve">See Section 9 for details.</w:t>
      </w:r>
    </w:p>
    <w:p>
      <w:pPr>
        <w:pStyle w:val="Heading1"/>
      </w:pPr>
      <w:r>
        <w:t xml:space="preserve">Not Applicable Sections</w:t>
      </w:r>
    </w:p>
    <w:p>
      <w:pPr>
        <w:pStyle w:val="Heading2"/>
      </w:pPr>
      <w:r>
        <w:t xml:space="preserve">Pharmacogenomics</w:t>
      </w:r>
    </w:p>
    <w:p>
      <w:r>
        <w:t xml:space="preserve">Not applicable.</w:t>
      </w:r>
    </w:p>
    <w:p>
      <w:pPr>
        <w:pStyle w:val="Heading2"/>
      </w:pPr>
      <w:r>
        <w:t xml:space="preserve">Pediatric plan</w:t>
      </w:r>
    </w:p>
    <w:p>
      <w:r>
        <w:t xml:space="preserve">Not applicable.</w:t>
      </w:r>
    </w:p>
    <w:p>
      <w:pPr>
        <w:pStyle w:val="Heading2"/>
      </w:pPr>
      <w:r>
        <w:t xml:space="preserve">Device sub-study</w:t>
      </w:r>
    </w:p>
    <w:p>
      <w:r>
        <w:t xml:space="preserve">Not applicable.</w:t>
      </w:r>
    </w:p>
    <w:p>
      <w:pPr>
        <w:pStyle w:val="Heading2"/>
      </w:pPr>
      <w:r>
        <w:t xml:space="preserve">Imaging</w:t>
      </w:r>
    </w:p>
    <w:p>
      <w:r>
        <w:t xml:space="preserve">Not applicable.</w:t>
      </w:r>
    </w:p>
    <w:p>
      <w:pPr>
        <w:pStyle w:val="Heading2"/>
      </w:pPr>
      <w:r>
        <w:t xml:space="preserve">Biobanking</w:t>
      </w:r>
    </w:p>
    <w:p>
      <w:r>
        <w:t xml:space="preserve">Not applicable.</w:t>
      </w:r>
    </w:p>
    <w:p>
      <w:pPr>
        <w:pStyle w:val="Heading2"/>
      </w:pPr>
      <w:r>
        <w:t xml:space="preserve">Home visits</w:t>
      </w:r>
    </w:p>
    <w:p>
      <w:r>
        <w:t xml:space="preserve">Not applicable.</w:t>
      </w:r>
    </w:p>
    <w:p>
      <w:pPr>
        <w:pStyle w:val="Heading1"/>
      </w:pPr>
      <w:r>
        <w:t xml:space="preserve">Visit Schedule</w:t>
      </w:r>
    </w:p>
    <w:p>
      <w:r>
        <w:t xml:space="preserve">Visit 1 takes place on Day 7.</w:t>
      </w:r>
    </w:p>
    <w:p>
      <w:r>
        <w:t xml:space="preserve">Visit 2 takes place on Day 14.</w:t>
      </w:r>
    </w:p>
    <w:p>
      <w:r>
        <w:t xml:space="preserve">Visit 3 takes place on Day 21.</w:t>
      </w:r>
    </w:p>
    <w:p>
      <w:r>
        <w:t xml:space="preserve">Visit 4 takes place on Day 28.</w:t>
      </w:r>
    </w:p>
    <w:p>
      <w:r>
        <w:t xml:space="preserve">Visit 5 takes place on Day 35.</w:t>
      </w:r>
    </w:p>
    <w:p>
      <w:r>
        <w:t xml:space="preserve">Visit 6 takes place on Day 42.</w:t>
      </w:r>
    </w:p>
    <w:p>
      <w:r>
        <w:t xml:space="preserve">Visit 7 takes place on Day 49.</w:t>
      </w:r>
    </w:p>
    <w:p>
      <w:r>
        <w:t xml:space="preserve">Visit 8 takes place on Day 56.</w:t>
      </w:r>
    </w:p>
    <w:p>
      <w:r>
        <w:t xml:space="preserve">Visit 9 takes place on Day 63.</w:t>
      </w:r>
    </w:p>
    <w:p>
      <w:r>
        <w:t xml:space="preserve">Visit 10 takes place on Day 70.</w:t>
      </w:r>
    </w:p>
    <w:p>
      <w:r>
        <w:t xml:space="preserve">Visit 11 takes place on Day 77.</w:t>
      </w:r>
    </w:p>
    <w:p>
      <w:r>
        <w:t xml:space="preserve">Visit 12 takes place on Day 84.</w:t>
      </w:r>
    </w:p>
    <w:p>
      <w:pPr>
        <w:pStyle w:val="Heading1"/>
      </w:pPr>
      <w:r>
        <w:t xml:space="preserve">Instructions</w:t>
      </w:r>
    </w:p>
    <w:p>
      <w:pPr>
        <w:pStyle w:val="ListParagraph"/>
        <w:numPr>
          <w:ilvl w:val="0"/>
          <w:numId w:val="1"/>
        </w:numPr>
      </w:pPr>
      <w:r>
        <w:t xml:space="preserve">Arrive fasting.</w:t>
      </w:r>
    </w:p>
    <w:p>
      <w:pPr>
        <w:pStyle w:val="ListParagraph"/>
        <w:numPr>
          <w:ilvl w:val="0"/>
          <w:numId w:val="1"/>
        </w:numPr>
      </w:pPr>
      <w:r>
        <w:t xml:space="preserve">Bring your diary.</w:t>
      </w:r>
    </w:p>
    <w:p>
      <w:pPr>
        <w:pStyle w:val="ListParagraph"/>
        <w:numPr>
          <w:ilvl w:val="0"/>
          <w:numId w:val="1"/>
        </w:numPr>
      </w:pPr>
      <w:r>
        <w:t xml:space="preserve">Bring all medication.</w:t>
      </w:r>
    </w:p>
    <w:p>
      <w:pPr>
        <w:pStyle w:val="ListParagraph"/>
        <w:numPr>
          <w:ilvl w:val="0"/>
          <w:numId w:val="1"/>
        </w:numPr>
      </w:pPr>
      <w:r>
        <w:t xml:space="preserve">Wear short sleeves.</w:t>
      </w:r>
    </w:p>
    <w:p>
      <w:pPr>
        <w:pStyle w:val="ListParagraph"/>
        <w:numPr>
          <w:ilvl w:val="0"/>
          <w:numId w:val="1"/>
        </w:numPr>
      </w:pPr>
      <w:r>
        <w:t xml:space="preserve">Avoid caffeine.</w:t>
      </w:r>
    </w:p>
    <w:p>
      <w:pPr>
        <w:pStyle w:val="ListParagraph"/>
        <w:numPr>
          <w:ilvl w:val="0"/>
          <w:numId w:val="1"/>
        </w:numPr>
      </w:pPr>
      <w:r>
        <w:t xml:space="preserve">Rest before the visit.</w:t>
      </w:r>
    </w:p>
    <w:p>
      <w:pPr>
        <w:pStyle w:val="Heading1"/>
      </w:pPr>
      <w:r>
        <w:t xml:space="preserve">Moved and Edited</w:t>
      </w:r>
    </w:p>
    <w:p>
      <w:r>
        <w:t xml:space="preserve">Unblinding is only permitted when knowledge of treatment is essential for the participant's medical care.</w:t>
      </w:r>
    </w:p>
    <w:p>
      <w:r>
        <w:t xml:space="preserve">Study drug is packaged identically.</w:t>
      </w:r>
    </w:p>
    <w:p>
      <w:r>
        <w:t xml:space="preserve">The IRT system holds the code.</w:t>
      </w:r>
    </w:p>
    <w:p>
      <w:r>
        <w:t xml:space="preserve">Short note.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13-reorder-and-repeats_old.docx</dc:title>
  <dc:creator>docdiff test generator</dc:creator>
  <dcterms:created xsi:type="dcterms:W3CDTF">2026-09-01T10:00:00Z</dcterms:created>
</cp:coreProperties>
</file>