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Clinical Study Protocol CX-201 - Characters and Normalisation</w:t>
      </w:r>
    </w:p>
    <w:p>
      <w:pPr>
        <w:pStyle w:val="Heading1"/>
      </w:pPr>
      <w:r>
        <w:t xml:space="preserve">Symbols</w:t>
      </w:r>
    </w:p>
    <w:p>
      <w:r>
        <w:t xml:space="preserve">Doses of 5 µg/kg ± 10% are allowed; the limit is ≥ 2 °C.</w:t>
      </w:r>
    </w:p>
    <w:p>
      <w:r>
        <w:t xml:space="preserve">Use an α-blocker or β-blocker; resistance is 10 Ω.</w:t>
      </w:r>
    </w:p>
    <w:p>
      <w:r>
        <w:t xml:space="preserve">The naïve cohort met at the café in Zürich.</w:t>
      </w:r>
    </w:p>
    <w:p>
      <w:r>
        <w:t xml:space="preserve">Status: approved ✅ by the committee 😀.</w:t>
      </w:r>
    </w:p>
    <w:p>
      <w:r>
        <w:t xml:space="preserve">Investigator: 王小明 (Beijing site).</w:t>
      </w:r>
    </w:p>
    <w:p>
      <w:r>
        <w:t xml:space="preserve">Compound X™ and Device Y® are trademarks.</w:t>
      </w:r>
    </w:p>
    <w:p>
      <w:pPr>
        <w:pStyle w:val="Heading1"/>
      </w:pPr>
      <w:r>
        <w:t xml:space="preserve">Spaces and Dashes</w:t>
      </w:r>
    </w:p>
    <w:p>
      <w:r>
        <w:t xml:space="preserve">Take 10 mg daily.</w:t>
      </w:r>
    </w:p>
    <w:p>
      <w:r>
        <w:t xml:space="preserve">Take 20 mg daily.</w:t>
      </w:r>
    </w:p>
    <w:p>
      <w:r>
        <w:t xml:space="preserve">A double  space here.</w:t>
      </w:r>
    </w:p>
    <w:p>
      <w:r>
        <w:t xml:space="preserve">Trailing space at the end. </w:t>
      </w:r>
    </w:p>
    <w:p>
      <w:r>
        <w:t xml:space="preserve">Range 2-8 hours.</w:t>
      </w:r>
    </w:p>
    <w:p>
      <w:r>
        <w:t xml:space="preserve">Pause -- then continue.</w:t>
      </w:r>
    </w:p>
    <w:p>
      <w:r>
        <w:t xml:space="preserve">Wait...</w:t>
      </w:r>
    </w:p>
    <w:p>
      <w:r>
        <w:t xml:space="preserve">The participant's diary.</w:t>
      </w:r>
    </w:p>
    <w:p>
      <w:r>
        <w:t xml:space="preserve">He said "stop".</w:t>
      </w:r>
    </w:p>
    <w:p>
      <w:r>
        <w:t xml:space="preserve">Zero​width space inside a word.</w:t>
      </w:r>
    </w:p>
    <w:p>
      <w:r>
        <w:t xml:space="preserve">CASE CHANGE in this sentence.</w:t>
      </w:r>
    </w:p>
    <w:p>
      <w:r>
        <w:t xml:space="preserve">Column	separated	values.</w:t>
      </w:r>
    </w:p>
    <w:p>
      <w:pPr>
        <w:pStyle w:val="Heading1"/>
      </w:pPr>
      <w:r>
        <w:t xml:space="preserve">Special Word Elements</w:t>
      </w:r>
    </w:p>
    <w:p>
      <w:r>
        <w:t xml:space="preserve">Long</w:t>
      </w:r>
      <w:r>
        <w:softHyphen/>
      </w:r>
      <w:r>
        <w:t xml:space="preserve">word with a soft hyphen.</w:t>
      </w:r>
    </w:p>
    <w:p>
      <w:r>
        <w:t xml:space="preserve">Non</w:t>
      </w:r>
      <w:r>
        <w:noBreakHyphen/>
      </w:r>
      <w:r>
        <w:t xml:space="preserve">breaking hyphen element.</w:t>
      </w:r>
    </w:p>
    <w:p>
      <w:r>
        <w:t xml:space="preserve">Ticked </w:t>
      </w:r>
      <w:r>
        <w:sym w:font="Wingdings" w:char="F0FC"/>
      </w:r>
      <w:r>
        <w:t xml:space="preserve"> item.</w:t>
      </w:r>
    </w:p>
    <w:p>
      <w:r>
        <w:t xml:space="preserve">Volume 10</w:t>
      </w:r>
      <w:r>
        <w:rPr>
          <w:vertAlign w:val="superscript"/>
        </w:rPr>
        <w:t xml:space="preserve">3</w:t>
      </w:r>
      <w:r>
        <w:t xml:space="preserve"> cells.</w:t>
      </w:r>
    </w:p>
    <w:p>
      <w:pPr>
        <w:pStyle w:val="Heading1"/>
      </w:pPr>
      <w:r>
        <w:t xml:space="preserve">Long Paragraph</w:t>
      </w:r>
    </w:p>
    <w:p>
      <w:r>
        <w:t xml:space="preserve">Attend into case form the before the investigator report investigator records report will electronic source records source electronic working in in form attend investigator the working days all findings within investigator findings within the the before each visit entering electronic electronic investigator visit the the will attend into all the will investigator and working in in data source days into attend working the electronic days attend data data the the findings visit working attend report working documents before electronic and investigator source into and documents within records before investigator attend attend five will investigator investigator attend the visit report the attend electronic before data will the documents electronic visit entering in source records documents source the the into five attend investigator documents in the source working into documents will data each documents case investigator data source the five case in the the findings case data findings documents investigator findings records before and participant the entering documents within investigator attend in attend participant and records the the data before records before within findings investigator attend participant each form and the the investigator working before investigator visit the and into electronic all records report form days findings participant entering into report within form visit before the five and findings documents in the in entering entering form all documents into participant the the the documents form all will investigator within attend each and participant case each and investigator documents source each entering days in participant within attend investigator case findings entering the the each source the will each within report visit each the electronic the the working electronic five findings into electronic five entering case participant data the source investigator documents all will working findings participant electronic the the entering five attend working will the five attend working participant five the visit will the within electronic records participant each in days data each the days source source within working documents case before the records will investigator the records electronic data the before the entering within the report the findings days attend working attend in in source records findings report all the investigator each records data within form case records and before data five days source the days the will source all data in within into the investigator electronic form the and within the in working case documents the in five before attend form the five the and investigator working working will the within.</w:t>
      </w:r>
    </w:p>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2">
    <w:multiLevelType w:val="multilevel"/>
    <w:lvl w:ilvl="0">
      <w:start w:val="1"/>
      <w:numFmt w:val="decimal"/>
      <w:pStyle w:val="Heading1"/>
      <w:lvlText w:val="%1"/>
      <w:lvlJc w:val="left"/>
      <w:pPr>
        <w:ind w:left="432" w:hanging="360"/>
      </w:pPr>
    </w:lvl>
    <w:lvl w:ilvl="1">
      <w:start w:val="1"/>
      <w:numFmt w:val="decimal"/>
      <w:pStyle w:val="Heading2"/>
      <w:lvlText w:val="%1.%2"/>
      <w:lvlJc w:val="left"/>
      <w:pPr>
        <w:ind w:left="576" w:hanging="360"/>
      </w:pPr>
    </w:lvl>
  </w:abstractNum>
  <w:num w:numId="1">
    <w:abstractNumId w:val="0"/>
  </w:num>
  <w:num w:numId="2">
    <w:abstractNumId w:val="1"/>
  </w:num>
  <w:num w:numId="3">
    <w:abstractNumId w:val="0"/>
    <w:lvlOverride w:ilvl="0">
      <w:startOverride w:val="1"/>
    </w:lvlOverride>
  </w:num>
  <w:num w:numId="4">
    <w:abstractNumId w:val="2"/>
  </w:num>
  <w:num w:numId="5">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rFonts w:ascii="Calibri Light" w:hAnsi="Calibri Light"/>
      <w:sz w:val="48"/>
    </w:rPr>
  </w:style>
  <w:style w:type="paragraph" w:styleId="Heading1">
    <w:name w:val="heading 1"/>
    <w:basedOn w:val="Normal"/>
    <w:next w:val="Normal"/>
    <w:qFormat/>
    <w:pPr>
      <w:keepNext/>
      <w:spacing w:before="360" w:after="120"/>
      <w:outlineLvl w:val="0"/>
    </w:pPr>
    <w:rPr>
      <w:b/>
      <w:color w:val="1F3864"/>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60"/>
      <w:outlineLvl w:val="2"/>
    </w:pPr>
    <w:rPr>
      <w:b/>
      <w:i/>
      <w:color w:val="2F5496"/>
      <w:sz w:val="24"/>
    </w:rPr>
  </w:style>
  <w:style w:type="paragraph" w:styleId="ListParagraph">
    <w:name w:val="List Paragraph"/>
    <w:basedOn w:val="Normal"/>
    <w:qFormat/>
    <w:pPr>
      <w:spacing w:after="60"/>
      <w:ind w:left="720"/>
    </w:pPr>
  </w:style>
  <w:style w:type="paragraph" w:styleId="Caption">
    <w:name w:val="caption"/>
    <w:basedOn w:val="Normal"/>
    <w:next w:val="Normal"/>
    <w:qFormat/>
    <w:rPr>
      <w:i/>
      <w:color w:val="44546A"/>
      <w:sz w:val="18"/>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Header">
    <w:name w:val="header"/>
    <w:basedOn w:val="Normal"/>
    <w:pPr>
      <w:spacing w:after="0"/>
    </w:pPr>
  </w:style>
  <w:style w:type="paragraph" w:styleId="FootnoteText">
    <w:name w:val="footnote text"/>
    <w:basedOn w:val="Normal"/>
    <w:pPr>
      <w:spacing w:after="0" w:line="240" w:lineRule="auto"/>
    </w:pPr>
    <w:rPr>
      <w:sz w:val="20"/>
    </w:rPr>
  </w:style>
  <w:style w:type="paragraph" w:styleId="CommentText">
    <w:name w:val="annotation text"/>
    <w:basedOn w:val="Normal"/>
    <w:rPr>
      <w:sz w:val="20"/>
    </w:rPr>
  </w:style>
  <w:style w:type="character" w:default="1" w:styleId="DefaultParagraphFont">
    <w:name w:val="Default Paragraph Font"/>
    <w:uiPriority w:val="1"/>
    <w:semiHidden/>
  </w:style>
  <w:style w:type="character" w:styleId="FootnoteReference">
    <w:name w:val="foot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14-unicode-and-normalisation_old.docx</dc:title>
  <dc:creator>docdiff test generator</dc:creator>
  <dcterms:created xsi:type="dcterms:W3CDTF">2026-09-01T10:00:00Z</dcterms:created>
</cp:coreProperties>
</file>