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Standard Operating Procedure</w:t>
      </w:r>
    </w:p>
    <w:p>
      <w:pPr>
        <w:pStyle w:val="Title"/>
      </w:pPr>
      <w:r>
        <w:t xml:space="preserve">Data Cleaning and Query Management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5400"/>
      </w:tblGrid>
      <w:tr>
        <w:tc>
          <w:tcPr>
            <w:tcW w:w="3000" w:type="dxa"/>
          </w:tcPr>
          <w:p>
            <w:r>
              <w:t xml:space="preserve">Document</w:t>
            </w:r>
          </w:p>
        </w:tc>
        <w:tc>
          <w:tcPr>
            <w:tcW w:w="5400" w:type="dxa"/>
          </w:tcPr>
          <w:p>
            <w:r>
              <w:t xml:space="preserve">SOP-DM-014</w:t>
            </w:r>
          </w:p>
        </w:tc>
      </w:tr>
      <w:tr>
        <w:tc>
          <w:tcPr>
            <w:tcW w:w="3000" w:type="dxa"/>
          </w:tcPr>
          <w:p>
            <w:r>
              <w:t xml:space="preserve">Version</w:t>
            </w:r>
          </w:p>
        </w:tc>
        <w:tc>
          <w:tcPr>
            <w:tcW w:w="5400" w:type="dxa"/>
          </w:tcPr>
          <w:p>
            <w:r>
              <w:t xml:space="preserve">1.0</w:t>
            </w:r>
          </w:p>
        </w:tc>
      </w:tr>
      <w:tr>
        <w:tc>
          <w:tcPr>
            <w:tcW w:w="3000" w:type="dxa"/>
          </w:tcPr>
          <w:p>
            <w:r>
              <w:t xml:space="preserve">Effective date</w:t>
            </w:r>
          </w:p>
        </w:tc>
        <w:tc>
          <w:tcPr>
            <w:tcW w:w="5400" w:type="dxa"/>
          </w:tcPr>
          <w:p>
            <w:r>
              <w:t xml:space="preserve">2025-11-03</w:t>
            </w:r>
          </w:p>
        </w:tc>
      </w:tr>
      <w:tr>
        <w:tc>
          <w:tcPr>
            <w:tcW w:w="3000" w:type="dxa"/>
          </w:tcPr>
          <w:p>
            <w:r>
              <w:t xml:space="preserve">Owner</w:t>
            </w:r>
          </w:p>
        </w:tc>
        <w:tc>
          <w:tcPr>
            <w:tcW w:w="5400" w:type="dxa"/>
          </w:tcPr>
          <w:p>
            <w:r>
              <w:t xml:space="preserve">Data Management</w:t>
            </w:r>
          </w:p>
        </w:tc>
      </w:tr>
    </w:tbl>
    <w:p>
      <w:pPr>
        <w:pStyle w:val="Heading1"/>
      </w:pPr>
      <w:r>
        <w:t xml:space="preserve">Revision History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1200"/>
        <w:gridCol w:w="1600"/>
        <w:gridCol w:w="1800"/>
        <w:gridCol w:w="3800"/>
      </w:tblGrid>
      <w:tr>
        <w:trPr>
          <w:tblHeader/>
        </w:trPr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Author</w:t>
            </w:r>
          </w:p>
        </w:tc>
        <w:tc>
          <w:tcPr>
            <w:tcW w:w="3800" w:type="dxa"/>
            <w:shd w:val="clear" w:color="auto" w:fill="D9E2F3"/>
          </w:tcPr>
          <w:p>
            <w:r>
              <w:rPr>
                <w:b/>
              </w:rPr>
              <w:t xml:space="preserve">Summary</w:t>
            </w:r>
          </w:p>
        </w:tc>
      </w:tr>
      <w:tr>
        <w:tc>
          <w:tcPr>
            <w:tcW w:w="1200" w:type="dxa"/>
          </w:tcPr>
          <w:p>
            <w:r>
              <w:t xml:space="preserve">1.0</w:t>
            </w:r>
          </w:p>
        </w:tc>
        <w:tc>
          <w:tcPr>
            <w:tcW w:w="1600" w:type="dxa"/>
          </w:tcPr>
          <w:p>
            <w:r>
              <w:t xml:space="preserve">2025-11-03</w:t>
            </w:r>
          </w:p>
        </w:tc>
        <w:tc>
          <w:tcPr>
            <w:tcW w:w="1800" w:type="dxa"/>
          </w:tcPr>
          <w:p>
            <w:r>
              <w:t xml:space="preserve">J. Lee</w:t>
            </w:r>
          </w:p>
        </w:tc>
        <w:tc>
          <w:tcPr>
            <w:tcW w:w="3800" w:type="dxa"/>
          </w:tcPr>
          <w:p>
            <w:r>
              <w:t xml:space="preserve">First issue.</w:t>
            </w:r>
          </w:p>
        </w:tc>
      </w:tr>
    </w:tbl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Purpose</w:t>
      </w:r>
      <w:r>
        <w:tab/>
      </w:r>
      <w:r>
        <w:t xml:space="preserve">3</w:t>
      </w:r>
    </w:p>
    <w:p>
      <w:pPr>
        <w:pStyle w:val="TOC1"/>
        <w:tabs>
          <w:tab w:val="right" w:leader="dot" w:pos="9350"/>
        </w:tabs>
      </w:pPr>
      <w:r>
        <w:t xml:space="preserve">2 Scope</w:t>
      </w:r>
      <w:r>
        <w:tab/>
      </w:r>
      <w:r>
        <w:t xml:space="preserve">3</w:t>
      </w:r>
    </w:p>
    <w:p>
      <w:pPr>
        <w:pStyle w:val="TOC1"/>
        <w:tabs>
          <w:tab w:val="right" w:leader="dot" w:pos="9350"/>
        </w:tabs>
      </w:pPr>
      <w:r>
        <w:t xml:space="preserve">3 Definitions</w:t>
      </w:r>
      <w:r>
        <w:tab/>
      </w:r>
      <w:r>
        <w:t xml:space="preserve">3</w:t>
      </w:r>
    </w:p>
    <w:p>
      <w:pPr>
        <w:pStyle w:val="TOC1"/>
        <w:tabs>
          <w:tab w:val="right" w:leader="dot" w:pos="9350"/>
        </w:tabs>
      </w:pPr>
      <w:r>
        <w:t xml:space="preserve">4 Responsibilities</w:t>
      </w:r>
      <w:r>
        <w:tab/>
      </w:r>
      <w:r>
        <w:t xml:space="preserve">4</w:t>
      </w:r>
    </w:p>
    <w:p>
      <w:pPr>
        <w:pStyle w:val="TOC1"/>
        <w:tabs>
          <w:tab w:val="right" w:leader="dot" w:pos="9350"/>
        </w:tabs>
      </w:pPr>
      <w:r>
        <w:t xml:space="preserve">5 Procedure</w:t>
      </w:r>
      <w:r>
        <w:tab/>
      </w:r>
      <w:r>
        <w:t xml:space="preserve">5</w:t>
      </w:r>
    </w:p>
    <w:p>
      <w:pPr>
        <w:pStyle w:val="TOC1"/>
        <w:tabs>
          <w:tab w:val="right" w:leader="dot" w:pos="9350"/>
        </w:tabs>
      </w:pPr>
      <w:r>
        <w:t xml:space="preserve">6 References</w:t>
      </w:r>
      <w:r>
        <w:tab/>
      </w:r>
      <w:r>
        <w:t xml:space="preserve">8</w:t>
      </w:r>
    </w:p>
    <w:p>
      <w:pPr>
        <w:pStyle w:val="TOC1"/>
        <w:tabs>
          <w:tab w:val="right" w:leader="dot" w:pos="9350"/>
        </w:tabs>
      </w:pPr>
      <w:r>
        <w:t xml:space="preserve">7 Appendix: Forms</w:t>
      </w:r>
      <w:r>
        <w:tab/>
      </w:r>
      <w:r>
        <w:t xml:space="preserve">9</w:t>
      </w:r>
    </w:p>
    <w:p>
      <w:r>
        <w:fldChar w:fldCharType="end"/>
      </w:r>
    </w:p>
    <w:p>
      <w:pPr>
        <w:pStyle w:val="Heading1"/>
        <w:numPr>
          <w:ilvl w:val="0"/>
          <w:numId w:val="4"/>
        </w:numPr>
      </w:pPr>
      <w:r>
        <w:t xml:space="preserve">Purpose</w:t>
      </w:r>
    </w:p>
    <w:p>
      <w:r>
        <w:t xml:space="preserve">This SOP describes how clinical data are reviewed, cleaned and locked in the electronic data capture system.</w:t>
      </w:r>
    </w:p>
    <w:p>
      <w:pPr>
        <w:pStyle w:val="Heading1"/>
        <w:numPr>
          <w:ilvl w:val="0"/>
          <w:numId w:val="4"/>
        </w:numPr>
      </w:pPr>
      <w:r>
        <w:t xml:space="preserve">Scope</w:t>
      </w:r>
    </w:p>
    <w:p>
      <w:r>
        <w:t xml:space="preserve">This SOP applies to all interventional studies managed by Data Management.</w:t>
      </w:r>
    </w:p>
    <w:p>
      <w:r>
        <w:t xml:space="preserve">Observational studies are out of scope.</w:t>
      </w:r>
    </w:p>
    <w:p>
      <w:pPr>
        <w:pStyle w:val="Heading1"/>
        <w:numPr>
          <w:ilvl w:val="0"/>
          <w:numId w:val="4"/>
        </w:numPr>
      </w:pPr>
      <w:r>
        <w:t xml:space="preserve">Definitions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000"/>
        <w:gridCol w:w="64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6400" w:type="dxa"/>
            <w:shd w:val="clear" w:color="auto" w:fill="D9E2F3"/>
          </w:tcPr>
          <w:p>
            <w:r>
              <w:rPr>
                <w:b/>
              </w:rPr>
              <w:t xml:space="preserve">Definition</w:t>
            </w:r>
          </w:p>
        </w:tc>
      </w:tr>
      <w:tr>
        <w:tc>
          <w:tcPr>
            <w:tcW w:w="2000" w:type="dxa"/>
          </w:tcPr>
          <w:p>
            <w:r>
              <w:t xml:space="preserve">EDC</w:t>
            </w:r>
          </w:p>
        </w:tc>
        <w:tc>
          <w:tcPr>
            <w:tcW w:w="6400" w:type="dxa"/>
          </w:tcPr>
          <w:p>
            <w:r>
              <w:t xml:space="preserve">Electronic data capture system.</w:t>
            </w:r>
          </w:p>
        </w:tc>
      </w:tr>
      <w:tr>
        <w:tc>
          <w:tcPr>
            <w:tcW w:w="2000" w:type="dxa"/>
          </w:tcPr>
          <w:p>
            <w:r>
              <w:t xml:space="preserve">Query</w:t>
            </w:r>
          </w:p>
        </w:tc>
        <w:tc>
          <w:tcPr>
            <w:tcW w:w="6400" w:type="dxa"/>
          </w:tcPr>
          <w:p>
            <w:r>
              <w:t xml:space="preserve">A request to clarify a data point.</w:t>
            </w:r>
          </w:p>
        </w:tc>
      </w:tr>
      <w:tr>
        <w:tc>
          <w:tcPr>
            <w:tcW w:w="2000" w:type="dxa"/>
          </w:tcPr>
          <w:p>
            <w:r>
              <w:t xml:space="preserve">SDV</w:t>
            </w:r>
          </w:p>
        </w:tc>
        <w:tc>
          <w:tcPr>
            <w:tcW w:w="6400" w:type="dxa"/>
          </w:tcPr>
          <w:p>
            <w:r>
              <w:t xml:space="preserve">Source data verification.</w:t>
            </w:r>
          </w:p>
        </w:tc>
      </w:tr>
      <w:tr>
        <w:tc>
          <w:tcPr>
            <w:tcW w:w="2000" w:type="dxa"/>
          </w:tcPr>
          <w:p>
            <w:r>
              <w:t xml:space="preserve">DMP</w:t>
            </w:r>
          </w:p>
        </w:tc>
        <w:tc>
          <w:tcPr>
            <w:tcW w:w="6400" w:type="dxa"/>
          </w:tcPr>
          <w:p>
            <w:r>
              <w:t xml:space="preserve">Data management plan.</w:t>
            </w:r>
          </w:p>
        </w:tc>
      </w:tr>
    </w:tbl>
    <w:p>
      <w:pPr>
        <w:pStyle w:val="Heading1"/>
        <w:numPr>
          <w:ilvl w:val="0"/>
          <w:numId w:val="4"/>
        </w:numPr>
      </w:pPr>
      <w:r>
        <w:t xml:space="preserve">Responsibilities</w:t>
      </w:r>
    </w:p>
    <w:p>
      <w:r>
        <w:rPr>
          <w:b/>
        </w:rPr>
        <w:t xml:space="preserve">Data Manager: </w:t>
      </w:r>
      <w:r>
        <w:t xml:space="preserve">Reviews data and raises queries.</w:t>
      </w:r>
    </w:p>
    <w:p>
      <w:r>
        <w:rPr>
          <w:b/>
        </w:rPr>
        <w:t xml:space="preserve">Clinical Research Associate: </w:t>
      </w:r>
      <w:r>
        <w:t xml:space="preserve">Supports sites in resolving queries.</w:t>
      </w:r>
    </w:p>
    <w:p>
      <w:r>
        <w:rPr>
          <w:b/>
        </w:rPr>
        <w:t xml:space="preserve">Investigator: </w:t>
      </w:r>
      <w:r>
        <w:t xml:space="preserve">Answers queries and signs the casebook.</w:t>
      </w:r>
    </w:p>
    <w:p>
      <w:pPr>
        <w:pStyle w:val="Heading1"/>
        <w:numPr>
          <w:ilvl w:val="0"/>
          <w:numId w:val="4"/>
        </w:numPr>
      </w:pPr>
      <w:r>
        <w:t xml:space="preserve">Procedure</w:t>
      </w:r>
    </w:p>
    <w:p>
      <w:pPr>
        <w:pStyle w:val="Heading2"/>
        <w:numPr>
          <w:ilvl w:val="1"/>
          <w:numId w:val="4"/>
        </w:numPr>
      </w:pPr>
      <w:r>
        <w:t xml:space="preserve">Data Review</w:t>
      </w:r>
    </w:p>
    <w:p>
      <w:pPr>
        <w:pStyle w:val="ListParagraph"/>
        <w:numPr>
          <w:ilvl w:val="0"/>
          <w:numId w:val="1"/>
        </w:numPr>
      </w:pPr>
      <w:r>
        <w:t xml:space="preserve">Run the edit checks after each data transfer.</w:t>
      </w:r>
    </w:p>
    <w:p>
      <w:pPr>
        <w:pStyle w:val="ListParagraph"/>
        <w:numPr>
          <w:ilvl w:val="0"/>
          <w:numId w:val="1"/>
        </w:numPr>
      </w:pPr>
      <w:r>
        <w:t xml:space="preserve">Review listings for outliers.</w:t>
      </w:r>
    </w:p>
    <w:p>
      <w:pPr>
        <w:pStyle w:val="ListParagraph"/>
        <w:numPr>
          <w:ilvl w:val="0"/>
          <w:numId w:val="1"/>
        </w:numPr>
      </w:pPr>
      <w:r>
        <w:t xml:space="preserve">Raise a query for each discrepancy.</w:t>
      </w:r>
    </w:p>
    <w:p>
      <w:pPr>
        <w:pStyle w:val="ListParagraph"/>
        <w:numPr>
          <w:ilvl w:val="0"/>
          <w:numId w:val="1"/>
        </w:numPr>
      </w:pPr>
      <w:r>
        <w:t xml:space="preserve">Close queries after the site answers.</w:t>
      </w:r>
    </w:p>
    <w:p>
      <w:r>
        <w:t xml:space="preserve">Outlier review is documented in the data review log.</w:t>
      </w:r>
      <w:r>
        <w:rPr>
          <w:rStyle w:val="FootnoteReference"/>
        </w:rPr>
        <w:footnoteReference w:id="1"/>
      </w:r>
    </w:p>
    <w:p>
      <w:pPr>
        <w:pStyle w:val="Heading2"/>
        <w:numPr>
          <w:ilvl w:val="1"/>
          <w:numId w:val="4"/>
        </w:numPr>
      </w:pPr>
      <w:r>
        <w:t xml:space="preserve">Query Timelines</w:t>
      </w:r>
    </w:p>
    <w:p>
      <w:r>
        <w:t xml:space="preserve">Sites must answer queries within 14 calendar days.</w:t>
      </w:r>
    </w:p>
    <w:p>
      <w:r>
        <w:t xml:space="preserve">Unanswered queries are escalated to the CRA after 21 days.</w:t>
      </w:r>
    </w:p>
    <w:p>
      <w:pPr>
        <w:pStyle w:val="Heading2"/>
        <w:numPr>
          <w:ilvl w:val="1"/>
          <w:numId w:val="4"/>
        </w:numPr>
      </w:pPr>
      <w:r>
        <w:t xml:space="preserve">Database Lock</w:t>
      </w:r>
    </w:p>
    <w:p>
      <w:pPr>
        <w:pStyle w:val="ListParagraph"/>
        <w:numPr>
          <w:ilvl w:val="0"/>
          <w:numId w:val="5"/>
        </w:numPr>
      </w:pPr>
      <w:r>
        <w:t xml:space="preserve">All queries are closed.</w:t>
      </w:r>
    </w:p>
    <w:p>
      <w:pPr>
        <w:pStyle w:val="ListParagraph"/>
        <w:numPr>
          <w:ilvl w:val="0"/>
          <w:numId w:val="5"/>
        </w:numPr>
      </w:pPr>
      <w:r>
        <w:t xml:space="preserve">SDV is complete.</w:t>
      </w:r>
    </w:p>
    <w:p>
      <w:pPr>
        <w:pStyle w:val="ListParagraph"/>
        <w:numPr>
          <w:ilvl w:val="0"/>
          <w:numId w:val="5"/>
        </w:numPr>
      </w:pPr>
      <w:r>
        <w:t xml:space="preserve">Medical coding is approved.</w:t>
      </w:r>
    </w:p>
    <w:p>
      <w:pPr>
        <w:pStyle w:val="ListParagraph"/>
        <w:numPr>
          <w:ilvl w:val="0"/>
          <w:numId w:val="5"/>
        </w:numPr>
      </w:pPr>
      <w:r>
        <w:t xml:space="preserve">The lock checklist is signed.</w:t>
      </w:r>
    </w:p>
    <w:p>
      <w:pPr>
        <w:jc w:val="center"/>
      </w:pPr>
      <w:r>
        <w:drawing>
          <wp:inline distT="0" distB="0" distL="0" distR="0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Query workflow.</w:t>
      </w:r>
    </w:p>
    <w:p>
      <w:pPr>
        <w:pStyle w:val="Heading1"/>
        <w:numPr>
          <w:ilvl w:val="0"/>
          <w:numId w:val="4"/>
        </w:numPr>
      </w:pPr>
      <w:r>
        <w:t xml:space="preserve">References</w:t>
      </w:r>
    </w:p>
    <w:p>
      <w:r>
        <w:t xml:space="preserve">ICH E6(R2) Good Clinical Practice.</w:t>
      </w:r>
    </w:p>
    <w:p>
      <w:r>
        <w:t xml:space="preserve">SOP-DM-010 Data Management Plan.</w:t>
      </w:r>
    </w:p>
    <w:p>
      <w:pPr>
        <w:sectPr>
          <w:headerReference w:type="default" r:id="rIdHF1"/>
          <w:footerReference w:type="default" r:id="rIdHF2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Signatures follow.</w:t>
      </w:r>
    </w:p>
    <w:p>
      <w:pPr>
        <w:pStyle w:val="Heading1"/>
        <w:numPr>
          <w:ilvl w:val="0"/>
          <w:numId w:val="4"/>
        </w:numPr>
      </w:pPr>
      <w:r>
        <w:t xml:space="preserve">Appendix: Forms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200"/>
        <w:gridCol w:w="1400"/>
        <w:gridCol w:w="1800"/>
        <w:gridCol w:w="2400"/>
      </w:tblGrid>
      <w:tr>
        <w:trPr>
          <w:tblHeader/>
        </w:trPr>
        <w:tc>
          <w:tcPr>
            <w:tcW w:w="52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1400" w:type="dxa"/>
            <w:shd w:val="clear" w:color="auto" w:fill="D9E2F3"/>
          </w:tcPr>
          <w:p>
            <w:r>
              <w:rPr>
                <w:b/>
              </w:rPr>
              <w:t xml:space="preserve">Done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Initials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5200" w:type="dxa"/>
          </w:tcPr>
          <w:p>
            <w:r>
              <w:t xml:space="preserve">Edit checks run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5200" w:type="dxa"/>
          </w:tcPr>
          <w:p>
            <w:r>
              <w:t xml:space="preserve">Listings reviewed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5200" w:type="dxa"/>
          </w:tcPr>
          <w:p>
            <w:r>
              <w:t xml:space="preserve">Queries closed</w:t>
            </w:r>
          </w:p>
        </w:tc>
        <w:tc>
          <w:tcPr>
            <w:tcW w:w="1400" w:type="dxa"/>
          </w:tcPr>
          <w:p/>
        </w:tc>
        <w:tc>
          <w:tcPr>
            <w:tcW w:w="1800" w:type="dxa"/>
          </w:tcPr>
          <w:p/>
        </w:tc>
        <w:tc>
          <w:tcPr>
            <w:tcW w:w="2400" w:type="dxa"/>
          </w:tcPr>
          <w:p/>
        </w:tc>
      </w:tr>
    </w:tbl>
    <w:p>
      <w:r>
        <w:t xml:space="preserve">Signatures:</w:t>
      </w:r>
    </w:p>
    <w:tbl>
      <w:tblPr>
        <w:tblStyle w:val="TableGrid"/>
        <w:tblW w:w="10400" w:type="dxa"/>
        <w:tblLook w:val="04A0" w:firstRow="1" w:lastRow="0" w:firstColumn="1" w:lastColumn="0" w:noHBand="0" w:noVBand="1"/>
      </w:tblPr>
      <w:tblGrid>
        <w:gridCol w:w="2400"/>
        <w:gridCol w:w="3000"/>
        <w:gridCol w:w="3000"/>
        <w:gridCol w:w="2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Signature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2400" w:type="dxa"/>
          </w:tcPr>
          <w:p>
            <w:r>
              <w:t xml:space="preserve">Author</w:t>
            </w:r>
          </w:p>
        </w:tc>
        <w:tc>
          <w:tcPr>
            <w:tcW w:w="3000" w:type="dxa"/>
          </w:tcPr>
          <w:p>
            <w:r>
              <w:t xml:space="preserve">J. Lee</w:t>
            </w:r>
          </w:p>
        </w:tc>
        <w:tc>
          <w:tcPr>
            <w:tcW w:w="3000" w:type="dxa"/>
          </w:tcPr>
          <w:p/>
        </w:tc>
        <w:tc>
          <w:tcPr>
            <w:tcW w:w="2000" w:type="dxa"/>
          </w:tcPr>
          <w:p/>
        </w:tc>
      </w:tr>
      <w:tr>
        <w:tc>
          <w:tcPr>
            <w:tcW w:w="2400" w:type="dxa"/>
          </w:tcPr>
          <w:p>
            <w:r>
              <w:t xml:space="preserve">Approver</w:t>
            </w:r>
          </w:p>
        </w:tc>
        <w:tc>
          <w:tcPr>
            <w:tcW w:w="3000" w:type="dxa"/>
          </w:tcPr>
          <w:p>
            <w:r>
              <w:t xml:space="preserve">K. Patel</w:t>
            </w:r>
          </w:p>
        </w:tc>
        <w:tc>
          <w:tcPr>
            <w:tcW w:w="3000" w:type="dxa"/>
          </w:tcPr>
          <w:p/>
        </w:tc>
        <w:tc>
          <w:tcPr>
            <w:tcW w:w="2000" w:type="dxa"/>
          </w:tcPr>
          <w:p/>
        </w:tc>
      </w:tr>
    </w:tbl>
    <w:sectPr>
      <w:headerReference w:type="default" r:id="rIdHF1"/>
      <w:footerReference w:type="default" r:id="rIdHF2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Outliers are values beyond 3 SD.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SOP-DM-014 Data Cleaning   Version 1.0</w:t>
    </w:r>
    <w:r>
      <w:tab/>
    </w:r>
    <w:r>
      <w:t xml:space="preserve">Effective: </w:t>
    </w:r>
    <w:r>
      <w:t xml:space="preserve">2025-11-03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Relationship Id="rIdFootnotes" Type="http://schemas.openxmlformats.org/officeDocument/2006/relationships/footnotes" Target="footnotes.xml"/><Relationship Id="rIdHF1" Type="http://schemas.openxmlformats.org/officeDocument/2006/relationships/header" Target="header1.xml"/><Relationship Id="rIdHF2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15-realistic-sop_old.docx</dc:title>
  <dc:creator>docdiff test generator</dc:creator>
  <dcterms:created xsi:type="dcterms:W3CDTF">2026-09-01T10:00:00Z</dcterms:created>
</cp:coreProperties>
</file>