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Clinical Study Protocol CX-201 - Eligibility</w:t>
      </w:r>
    </w:p>
    <w:p>
      <w:pPr>
        <w:pStyle w:val="Heading1"/>
        <w:numPr>
          <w:ilvl w:val="0"/>
          <w:numId w:val="4"/>
        </w:numPr>
      </w:pPr>
      <w:r>
        <w:t xml:space="preserve">Inclusion Criteria</w:t>
      </w:r>
    </w:p>
    <w:p>
      <w:pPr>
        <w:pStyle w:val="ListParagraph"/>
        <w:numPr>
          <w:ilvl w:val="0"/>
          <w:numId w:val="1"/>
        </w:numPr>
      </w:pPr>
      <w:r>
        <w:t xml:space="preserve">Age 18 to 75 years at screening.</w:t>
      </w:r>
    </w:p>
    <w:p>
      <w:pPr>
        <w:pStyle w:val="ListParagraph"/>
        <w:numPr>
          <w:ilvl w:val="0"/>
          <w:numId w:val="1"/>
        </w:numPr>
      </w:pPr>
      <w:r>
        <w:t xml:space="preserve">Diagnosis of essential hypertension for at least 3 months.</w:t>
      </w:r>
    </w:p>
    <w:p>
      <w:pPr>
        <w:pStyle w:val="ListParagraph"/>
        <w:numPr>
          <w:ilvl w:val="0"/>
          <w:numId w:val="1"/>
        </w:numPr>
      </w:pPr>
      <w:r>
        <w:t xml:space="preserve">Seated systolic blood pressure between 140 and 179 mmHg.</w:t>
      </w:r>
    </w:p>
    <w:p>
      <w:pPr>
        <w:pStyle w:val="ListParagraph"/>
        <w:numPr>
          <w:ilvl w:val="0"/>
          <w:numId w:val="1"/>
        </w:numPr>
      </w:pPr>
      <w:r>
        <w:t xml:space="preserve">Able to provide written informed consent.</w:t>
      </w:r>
    </w:p>
    <w:p>
      <w:pPr>
        <w:pStyle w:val="ListParagraph"/>
        <w:numPr>
          <w:ilvl w:val="0"/>
          <w:numId w:val="1"/>
        </w:numPr>
      </w:pPr>
      <w:r>
        <w:t xml:space="preserve">Body mass index below 35 kg/m2.</w:t>
      </w:r>
    </w:p>
    <w:p>
      <w:pPr>
        <w:pStyle w:val="Heading1"/>
        <w:numPr>
          <w:ilvl w:val="0"/>
          <w:numId w:val="4"/>
        </w:numPr>
      </w:pPr>
      <w:r>
        <w:t xml:space="preserve">Exclusion Criteria</w:t>
      </w:r>
    </w:p>
    <w:p>
      <w:pPr>
        <w:pStyle w:val="ListParagraph"/>
        <w:numPr>
          <w:ilvl w:val="0"/>
          <w:numId w:val="3"/>
        </w:numPr>
      </w:pPr>
      <w:r>
        <w:t xml:space="preserve">Known hypersensitivity to Compound X.</w:t>
      </w:r>
    </w:p>
    <w:p>
      <w:pPr>
        <w:pStyle w:val="ListParagraph"/>
        <w:numPr>
          <w:ilvl w:val="0"/>
          <w:numId w:val="3"/>
        </w:numPr>
      </w:pPr>
      <w:r>
        <w:t xml:space="preserve">Pregnant or breastfeeding women.</w:t>
      </w:r>
    </w:p>
    <w:p>
      <w:pPr>
        <w:pStyle w:val="ListParagraph"/>
        <w:numPr>
          <w:ilvl w:val="1"/>
          <w:numId w:val="3"/>
        </w:numPr>
      </w:pPr>
      <w:r>
        <w:t xml:space="preserve">Women of childbearing potential must use highly effective contraception.</w:t>
      </w:r>
    </w:p>
    <w:p>
      <w:pPr>
        <w:pStyle w:val="ListParagraph"/>
        <w:numPr>
          <w:ilvl w:val="0"/>
          <w:numId w:val="3"/>
        </w:numPr>
      </w:pPr>
      <w:r>
        <w:t xml:space="preserve">Participation in another interventional study within 30 days.</w:t>
      </w:r>
    </w:p>
    <w:p>
      <w:pPr>
        <w:pStyle w:val="Heading1"/>
        <w:numPr>
          <w:ilvl w:val="0"/>
          <w:numId w:val="4"/>
        </w:numPr>
      </w:pPr>
      <w:r>
        <w:t xml:space="preserve">Prohibited Medications</w:t>
      </w:r>
    </w:p>
    <w:p>
      <w:pPr>
        <w:pStyle w:val="ListParagraph"/>
        <w:numPr>
          <w:ilvl w:val="0"/>
          <w:numId w:val="5"/>
        </w:numPr>
      </w:pPr>
      <w:r>
        <w:t xml:space="preserve">Other antihypertensive agents</w:t>
      </w:r>
    </w:p>
    <w:p>
      <w:pPr>
        <w:pStyle w:val="ListParagraph"/>
        <w:numPr>
          <w:ilvl w:val="0"/>
          <w:numId w:val="5"/>
        </w:numPr>
      </w:pPr>
      <w:r>
        <w:t xml:space="preserve">Systemic corticosteroids</w:t>
      </w:r>
    </w:p>
    <w:p>
      <w:pPr>
        <w:pStyle w:val="ListParagraph"/>
        <w:numPr>
          <w:ilvl w:val="0"/>
          <w:numId w:val="5"/>
        </w:numPr>
      </w:pPr>
      <w:r>
        <w:t xml:space="preserve">Strong CYP3A4 inhibitors</w:t>
      </w:r>
    </w:p>
    <w:p>
      <w:pPr>
        <w:pStyle w:val="ListParagraph"/>
        <w:numPr>
          <w:ilvl w:val="0"/>
          <w:numId w:val="5"/>
        </w:numPr>
      </w:pPr>
      <w:r>
        <w:t xml:space="preserve">St. John's Wort</w:t>
      </w:r>
    </w:p>
    <w:p>
      <w:pPr>
        <w:pStyle w:val="Heading1"/>
        <w:numPr>
          <w:ilvl w:val="0"/>
          <w:numId w:val="4"/>
        </w:numPr>
      </w:pPr>
      <w:r>
        <w:t xml:space="preserve">Concomitant Medications</w:t>
      </w:r>
    </w:p>
    <w:p>
      <w:r>
        <w:t xml:space="preserve">Stable doses of lipid-lowering therapy are permitted.</w:t>
      </w:r>
    </w:p>
    <w:p>
      <w:pPr>
        <w:pStyle w:val="Heading1"/>
        <w:numPr>
          <w:ilvl w:val="0"/>
          <w:numId w:val="4"/>
        </w:numPr>
      </w:pPr>
      <w:r>
        <w:t xml:space="preserve">Study Procedures</w:t>
      </w:r>
    </w:p>
    <w:p>
      <w:pPr>
        <w:pStyle w:val="ListParagraph"/>
        <w:numPr>
          <w:ilvl w:val="0"/>
          <w:numId w:val="1"/>
        </w:numPr>
      </w:pPr>
      <w:r>
        <w:t xml:space="preserve">Obtain informed consent.</w:t>
      </w:r>
    </w:p>
    <w:p>
      <w:pPr>
        <w:pStyle w:val="ListParagraph"/>
        <w:numPr>
          <w:ilvl w:val="0"/>
          <w:numId w:val="1"/>
        </w:numPr>
      </w:pPr>
      <w:r>
        <w:t xml:space="preserve">Record vital signs.</w:t>
      </w:r>
    </w:p>
    <w:p>
      <w:pPr>
        <w:pStyle w:val="ListParagraph"/>
        <w:numPr>
          <w:ilvl w:val="0"/>
          <w:numId w:val="1"/>
        </w:numPr>
      </w:pPr>
      <w:r>
        <w:t xml:space="preserve">Collect blood samples.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</w:abstractNum>
  <w:abstractNum w:abstractNumId="2">
    <w:multiLevelType w:val="multilevel"/>
    <w:lvl w:ilvl="0">
      <w:start w:val="1"/>
      <w:numFmt w:val="decimal"/>
      <w:pStyle w:val="Heading1"/>
      <w:lvlText w:val="%1"/>
      <w:lvlJc w:val="left"/>
      <w:pPr>
        <w:ind w:left="432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36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2"/>
  </w:num>
  <w:num w:numId="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rFonts w:ascii="Calibri Light" w:hAnsi="Calibri Light"/>
      <w:sz w:val="4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b/>
      <w:i/>
      <w:color w:val="2F5496"/>
      <w:sz w:val="24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paragraph" w:styleId="Caption">
    <w:name w:val="caption"/>
    <w:basedOn w:val="Normal"/>
    <w:next w:val="Normal"/>
    <w:qFormat/>
    <w:rPr>
      <w:i/>
      <w:color w:val="44546A"/>
      <w:sz w:val="18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Header">
    <w:name w:val="header"/>
    <w:basedOn w:val="Normal"/>
    <w:pPr>
      <w:spacing w:after="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rPr>
      <w:sz w:val="20"/>
    </w:rPr>
  </w:style>
  <w:style w:type="character" w:default="1" w:styleId="DefaultParagraphFont">
    <w:name w:val="Default Paragraph Font"/>
    <w:uiPriority w:val="1"/>
    <w:semiHidden/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02-lists_new.docx</dc:title>
  <dc:creator>docdiff test generator</dc:creator>
  <dcterms:created xsi:type="dcterms:W3CDTF">2026-09-01T10:00:00Z</dcterms:created>
</cp:coreProperties>
</file>