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Clinical Study Protocol CX-201 - Other Elements</w:t>
      </w:r>
    </w:p>
    <w:p>
      <w:r>
        <w:t xml:space="preserve">Version date: </w:t>
      </w:r>
      <w:fldSimple w:instr=" DATE \@ &quot;yyyy-MM-dd&quot; ">
        <w:r>
          <w:t xml:space="preserve">2026-09-15</w:t>
        </w:r>
      </w:fldSimple>
    </w:p>
    <w:p>
      <w:pPr>
        <w:pStyle w:val="TOC1"/>
        <w:tabs>
          <w:tab w:val="right" w:leader="dot" w:pos="9350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Treatment</w:t>
      </w:r>
      <w:r>
        <w:tab/>
      </w:r>
      <w:r>
        <w:t xml:space="preserve">1</w:t>
      </w:r>
    </w:p>
    <w:p>
      <w:pPr>
        <w:pStyle w:val="TOC1"/>
        <w:tabs>
          <w:tab w:val="right" w:leader="dot" w:pos="9350"/>
        </w:tabs>
      </w:pPr>
      <w:r>
        <w:t xml:space="preserve">Measurements</w:t>
      </w:r>
      <w:r>
        <w:tab/>
      </w:r>
      <w:r>
        <w:t xml:space="preserve">1</w:t>
      </w:r>
    </w:p>
    <w:p>
      <w:pPr>
        <w:pStyle w:val="TOC1"/>
        <w:tabs>
          <w:tab w:val="right" w:leader="dot" w:pos="9350"/>
        </w:tabs>
      </w:pPr>
      <w:r>
        <w:t xml:space="preserve">Safety Reporting Requirements</w:t>
      </w:r>
      <w:r>
        <w:tab/>
      </w:r>
      <w:r>
        <w:t xml:space="preserve">2</w:t>
      </w:r>
    </w:p>
    <w:p>
      <w:pPr>
        <w:pStyle w:val="TOC1"/>
        <w:tabs>
          <w:tab w:val="right" w:leader="dot" w:pos="9350"/>
        </w:tabs>
      </w:pPr>
      <w:r>
        <w:t xml:space="preserve">Appendix A. Detailed Schedule</w:t>
      </w:r>
      <w:r>
        <w:tab/>
      </w:r>
      <w:r>
        <w:t xml:space="preserve">3</w:t>
      </w:r>
    </w:p>
    <w:p>
      <w:r>
        <w:fldChar w:fldCharType="end"/>
      </w:r>
    </w:p>
    <w:p>
      <w:pPr>
        <w:pStyle w:val="Heading1"/>
      </w:pPr>
      <w:r>
        <w:t xml:space="preserve">Treatment</w:t>
      </w:r>
    </w:p>
    <w:p>
      <w:r>
        <w:t xml:space="preserve">Treatment duration is </w:t>
      </w:r>
      <w:commentRangeStart w:id="0"/>
      <w:r>
        <w:t xml:space="preserve">24 weeks</w:t>
      </w:r>
      <w:commentRangeEnd w:id="0"/>
      <w:r>
        <w:rPr>
          <w:rStyle w:val="CommentReference"/>
        </w:rPr>
        <w:commentReference w:id="0"/>
      </w:r>
      <w:r>
        <w:t xml:space="preserve">.</w:t>
      </w:r>
    </w:p>
    <w:p>
      <w:commentRangeStart w:id="1"/>
      <w:r>
        <w:t xml:space="preserve">The dose may be titrated once after Week 2.</w:t>
      </w:r>
      <w:commentRangeEnd w:id="1"/>
      <w:r>
        <w:rPr>
          <w:rStyle w:val="CommentReference"/>
        </w:rPr>
        <w:commentReference w:id="1"/>
      </w:r>
    </w:p>
    <w:p>
      <w:commentRangeStart w:id="2"/>
      <w:r>
        <w:t xml:space="preserve">Missed doses should not be replaced.</w:t>
      </w:r>
      <w:commentRangeEnd w:id="2"/>
      <w:r>
        <w:rPr>
          <w:rStyle w:val="CommentReference"/>
        </w:rPr>
        <w:commentReference w:id="2"/>
      </w:r>
    </w:p>
    <w:p>
      <w:pPr>
        <w:pStyle w:val="Heading1"/>
      </w:pPr>
      <w:r>
        <w:t xml:space="preserve">Measurements</w:t>
      </w:r>
    </w:p>
    <w:p>
      <w:r>
        <w:t xml:space="preserve">Blood pressure will be measured using a validated device.</w:t>
      </w:r>
      <w:r>
        <w:rPr>
          <w:rStyle w:val="FootnoteReference"/>
        </w:rPr>
        <w:footnoteReference w:id="1"/>
      </w:r>
    </w:p>
    <w:p>
      <w:r>
        <w:t xml:space="preserve">The mean of three seated readings will be used.</w:t>
      </w:r>
      <w:r>
        <w:rPr>
          <w:rStyle w:val="FootnoteReference"/>
        </w:rPr>
        <w:footnoteReference w:id="2"/>
      </w:r>
    </w:p>
    <w:p>
      <w:r>
        <w:t xml:space="preserve">Full prescribing information is available on the </w:t>
      </w:r>
      <w:hyperlink r:id="rIdLink1">
        <w:r>
          <w:rPr>
            <w:rStyle w:val="Hyperlink"/>
          </w:rPr>
          <w:t xml:space="preserve">sponsor website</w:t>
        </w:r>
      </w:hyperlink>
      <w:r>
        <w:t xml:space="preserve">.</w:t>
      </w:r>
    </w:p>
    <w:p>
      <w:pPr>
        <w:jc w:val="center"/>
      </w:pPr>
      <w:r>
        <w:drawing>
          <wp:inline distT="0" distB="0" distL="0" distR="0">
            <wp:extent cx="18288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1. Study schema.</w:t>
      </w:r>
    </w:p>
    <w:p>
      <w:r>
        <w:t xml:space="preserve">Measurements are taken in the morning.</w:t>
      </w:r>
      <w:r>
        <w:rPr>
          <w:vanish/>
        </w:rPr>
        <w:t xml:space="preserve"> INTERNAL NOTE: confirm timing with sponsor.</w:t>
      </w:r>
    </w:p>
    <w:p>
      <w:pPr>
        <w:pStyle w:val="Heading1"/>
      </w:pPr>
      <w:bookmarkStart w:id="103" w:name="_Ref500"/>
      <w:r>
        <w:t xml:space="preserve">Safety Reporting Requirements</w:t>
      </w:r>
      <w:bookmarkEnd w:id="103"/>
    </w:p>
    <w:p>
      <w:r>
        <w:t xml:space="preserve">Serious adverse events are described in </w:t>
      </w:r>
      <w:r>
        <w:fldChar w:fldCharType="begin"/>
      </w:r>
      <w:r>
        <w:instrText xml:space="preserve"> REF _Ref500 \h </w:instrText>
      </w:r>
      <w:r>
        <w:fldChar w:fldCharType="separate"/>
      </w:r>
      <w:r>
        <w:t xml:space="preserve">Safety Reporting Requirements</w:t>
      </w:r>
      <w:r>
        <w:fldChar w:fldCharType="end"/>
      </w:r>
      <w:r>
        <w:t xml:space="preserve">.</w:t>
      </w:r>
    </w:p>
    <w:p>
      <w:r>
        <w:t xml:space="preserve">Pregnancies must be reported within 24 hours.</w:t>
      </w:r>
    </w:p>
    <w:p>
      <w:pPr>
        <w:sectPr>
          <w:headerReference w:type="default" r:id="rIdHdr"/>
          <w:pgSz w:w="12240" w:h="15840"/>
          <w:pgMar w:top="1440" w:right="1440" w:bottom="1440" w:left="1440" w:header="720" w:footer="720" w:gutter="0"/>
        </w:sectPr>
      </w:pPr>
      <w:r>
        <w:t xml:space="preserve">End of main protocol.</w:t>
      </w:r>
    </w:p>
    <w:p>
      <w:pPr>
        <w:pStyle w:val="Heading1"/>
      </w:pPr>
      <w:r>
        <w:t xml:space="preserve">Appendix A. Detailed Schedule</w:t>
      </w:r>
    </w:p>
    <w:p>
      <w:r>
        <w:t xml:space="preserve">This appendix is printed in landscape orientation.</w:t>
      </w:r>
    </w:p>
    <w:sectPr>
      <w:headerReference w:type="default" r:id="rIdHdr"/>
      <w:pgSz w:w="15840" w:h="12240" w:orient="landscape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ment w:id="0" w:author="Reviewer B" w:date="2026-09-01T10:00:00Z" w:initials="RB">
    <w:p>
      <w:pPr>
        <w:pStyle w:val="CommentText"/>
      </w:pPr>
      <w:r>
        <w:rPr>
          <w:rStyle w:val="CommentReference"/>
        </w:rPr>
        <w:annotationRef/>
      </w:r>
      <w:r>
        <w:t xml:space="preserve">Comment on changed text: 24 weeks agreed at the September meeting.</w:t>
      </w:r>
    </w:p>
  </w:comment>
  <w:comment w:id="1" w:author="Reviewer B" w:date="2026-09-01T10:00:00Z" w:initials="RB">
    <w:p>
      <w:pPr>
        <w:pStyle w:val="CommentText"/>
      </w:pPr>
      <w:r>
        <w:rPr>
          <w:rStyle w:val="CommentReference"/>
        </w:rPr>
        <w:annotationRef/>
      </w:r>
      <w:r>
        <w:t xml:space="preserve">Comment on unchanged text: please double-check the titration rule.</w:t>
      </w:r>
    </w:p>
  </w:comment>
  <w:comment w:id="2" w:author="Reviewer B" w:date="2026-09-01T10:00:00Z" w:initials="RB">
    <w:p>
      <w:pPr>
        <w:pStyle w:val="CommentText"/>
      </w:pPr>
      <w:r>
        <w:rPr>
          <w:rStyle w:val="CommentReference"/>
        </w:rPr>
        <w:annotationRef/>
      </w:r>
      <w:r>
        <w:t xml:space="preserve">Comment on a newly added paragraph.</w:t>
      </w:r>
    </w:p>
  </w:comment>
</w:comments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Omron HEM-907XL or equivalent.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Readings are averaged over three measurements.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right"/>
    </w:pPr>
    <w:r>
      <w:t xml:space="preserve">Protocol CX-201 v2.0 - Confidential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2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footnotePr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Calibri Light" w:hAnsi="Calibri Light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i/>
      <w:color w:val="2F5496"/>
      <w:sz w:val="24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paragraph" w:styleId="Caption">
    <w:name w:val="caption"/>
    <w:basedOn w:val="Normal"/>
    <w:next w:val="Normal"/>
    <w:qFormat/>
    <w:rPr>
      <w:i/>
      <w:color w:val="44546A"/>
      <w:sz w:val="18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Header">
    <w:name w:val="header"/>
    <w:basedOn w:val="Normal"/>
    <w:pPr>
      <w:spacing w:after="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default="1" w:styleId="DefaultParagraphFont">
    <w:name w:val="Default Paragraph Font"/>
    <w:uiPriority w:val="1"/>
    <w:semiHidden/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Relationship Id="rIdLink1" Type="http://schemas.openxmlformats.org/officeDocument/2006/relationships/hyperlink" Target="https://example.com/compound-x/label-2026" TargetMode="External"/><Relationship Id="rIdImg1" Type="http://schemas.openxmlformats.org/officeDocument/2006/relationships/image" Target="media/image1.png"/><Relationship Id="rIdComments" Type="http://schemas.openxmlformats.org/officeDocument/2006/relationships/comments" Target="comments.xml"/><Relationship Id="rIdFootnotes" Type="http://schemas.openxmlformats.org/officeDocument/2006/relationships/footnotes" Target="footnotes.xml"/><Relationship Id="rIdHdr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05-uncompared-and-comments_new.docx</dc:title>
  <dc:creator>docdiff test generator</dc:creator>
  <dcterms:created xsi:type="dcterms:W3CDTF">2026-09-01T10:00:00Z</dcterms:created>
</cp:coreProperties>
</file>