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Clinical Study Protocol CX-201 - Alignment Edge Cases</w:t>
      </w:r>
    </w:p>
    <w:p>
      <w:pPr>
        <w:pStyle w:val="Heading1"/>
      </w:pPr>
      <w:r>
        <w:t xml:space="preserve">Exploratory Assessments</w:t>
      </w:r>
    </w:p>
    <w:p>
      <w:pPr>
        <w:pStyle w:val="Heading2"/>
      </w:pPr>
      <w:r>
        <w:t xml:space="preserve">Pharmacokinetics</w:t>
      </w:r>
    </w:p>
    <w:p>
      <w:r>
        <w:t xml:space="preserve">Not applicable.</w:t>
      </w:r>
    </w:p>
    <w:p>
      <w:pPr>
        <w:pStyle w:val="Heading2"/>
      </w:pPr>
      <w:r>
        <w:t xml:space="preserve">Biomarkers</w:t>
      </w:r>
    </w:p>
    <w:p>
      <w:r>
        <w:t xml:space="preserve">Not applicable.</w:t>
      </w:r>
    </w:p>
    <w:p>
      <w:pPr>
        <w:pStyle w:val="Heading2"/>
      </w:pPr>
      <w:r>
        <w:t xml:space="preserve">Immunogenicity</w:t>
      </w:r>
    </w:p>
    <w:p>
      <w:r>
        <w:t xml:space="preserve">Not applicable.</w:t>
      </w:r>
    </w:p>
    <w:p>
      <w:pPr>
        <w:pStyle w:val="Heading1"/>
      </w:pPr>
      <w:r>
        <w:t xml:space="preserve">Visits</w:t>
      </w:r>
    </w:p>
    <w:p>
      <w:r>
        <w:t xml:space="preserve">Participants will attend a screening visit.</w:t>
      </w:r>
    </w:p>
    <w:p>
      <w:r>
        <w:t xml:space="preserve">Eligible participants will then be randomized at the baseline visit.</w:t>
      </w:r>
    </w:p>
    <w:p>
      <w:r>
        <w:t xml:space="preserve">Blood samples will be collected after an overnight fast and processed within 2 hours.</w:t>
      </w:r>
    </w:p>
    <w:p/>
    <w:p>
      <w:r>
        <w:t xml:space="preserve">Unscheduled visits may be performed at the discretion of the investigator.</w:t>
      </w:r>
    </w:p>
    <w:p/>
    <w:p/>
    <w:p>
      <w:r>
        <w:t xml:space="preserve">Protocol deviations will be documented in the trial master file.</w:t>
      </w:r>
    </w:p>
    <w:p>
      <w:pPr>
        <w:pStyle w:val="Heading1"/>
      </w:pPr>
      <w:r>
        <w:t xml:space="preserve">Typography</w:t>
      </w:r>
    </w:p>
    <w:p>
      <w:r>
        <w:t xml:space="preserve">Acme Pharma Ltd. (the “Sponsor”) is responsible for the study.</w:t>
      </w:r>
    </w:p>
    <w:p>
      <w:r>
        <w:t xml:space="preserve">This is a Phase II–III seamless design.</w:t>
      </w:r>
    </w:p>
    <w:p>
      <w:r>
        <w:t xml:space="preserve">See Section 5 for details.</w:t>
      </w:r>
    </w:p>
    <w:p>
      <w:r>
        <w:t xml:space="preserve">The starting dose is 10 mg.</w:t>
      </w:r>
    </w:p>
    <w:p>
      <w:r>
        <w:t xml:space="preserve">Assessments occur at week 12.</w:t>
      </w:r>
    </w:p>
    <w:p>
      <w:pPr>
        <w:pStyle w:val="Heading1"/>
      </w:pPr>
      <w:r>
        <w:t xml:space="preserve">Superscript and Line Breaks</w:t>
      </w:r>
    </w:p>
    <w:p>
      <w:r>
        <w:t xml:space="preserve">Viral load above 10</w:t>
      </w:r>
      <w:r>
        <w:rPr>
          <w:vertAlign w:val="superscript"/>
        </w:rPr>
        <w:t xml:space="preserve">5</w:t>
      </w:r>
      <w:r>
        <w:t xml:space="preserve"> copies/mL is exclusionary.</w:t>
      </w:r>
    </w:p>
    <w:p>
      <w:r>
        <w:t xml:space="preserve">Body mass index is reported in kg/m2.</w:t>
      </w:r>
    </w:p>
    <w:p>
      <w:r>
        <w:t xml:space="preserve">Contact:</w:t>
      </w:r>
      <w:r>
        <w:br/>
      </w:r>
      <w:r>
        <w:t xml:space="preserve">Dr. Jane Smith, Medical Monitor</w:t>
      </w:r>
    </w:p>
    <w:p>
      <w:pPr>
        <w:pStyle w:val="Heading1"/>
      </w:pPr>
      <w:r>
        <w:t xml:space="preserve">Rewrites</w:t>
      </w:r>
    </w:p>
    <w:p>
      <w:r>
        <w:t xml:space="preserve">Adherence is calculated from returned blister packs and recorded in the eCRF by site staff.</w:t>
      </w:r>
    </w:p>
    <w:p>
      <w:r>
        <w:t xml:space="preserve">The investigator must ensure that all study personnel are adequately trained on the protocol, the investigational product, and their study-related duties. The investigator will maintain a delegation log listing all individuals to whom study tasks have been delegated, together with their signatures and the dates of delegation. Training records must be filed in the investigator site file and made available for monitoring visits, audits, and regulatory inspections. Any new staff member joining the study team after site initiation must complete protocol training before performing any study-related activity, and this training must be documented within 10 working days.</w:t>
      </w:r>
    </w:p>
    <w:sectPr>
      <w:pgSz w:w="12240" w:h="15840"/>
      <w:pgMar w:top="1440" w:right="1440" w:bottom="1440" w:left="1440" w:header="720" w:footer="720" w:gutter="0"/>
      <w:cols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abstractNum w:abstractNumId="2">
    <w:multiLevelType w:val="multilevel"/>
    <w:lvl w:ilvl="0">
      <w:start w:val="1"/>
      <w:numFmt w:val="decimal"/>
      <w:pStyle w:val="Heading1"/>
      <w:lvlText w:val="%1"/>
      <w:lvlJc w:val="left"/>
      <w:pPr>
        <w:ind w:left="432" w:hanging="360"/>
      </w:pPr>
    </w:lvl>
    <w:lvl w:ilvl="1">
      <w:start w:val="1"/>
      <w:numFmt w:val="decimal"/>
      <w:pStyle w:val="Heading2"/>
      <w:lvlText w:val="%1.%2"/>
      <w:lvlJc w:val="left"/>
      <w:pPr>
        <w:ind w:left="576" w:hanging="360"/>
      </w:pPr>
    </w:lvl>
  </w:abstractNum>
  <w:num w:numId="1">
    <w:abstractNumId w:val="0"/>
  </w:num>
  <w:num w:numId="2">
    <w:abstractNumId w:val="1"/>
  </w:num>
  <w:num w:numId="3">
    <w:abstractNumId w:val="0"/>
    <w:lvlOverride w:ilvl="0">
      <w:startOverride w:val="1"/>
    </w:lvlOverride>
  </w:num>
  <w:num w:numId="4">
    <w:abstractNumId w:val="2"/>
  </w:num>
  <w:num w:numId="5">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240"/>
    </w:pPr>
    <w:rPr>
      <w:rFonts w:ascii="Calibri Light" w:hAnsi="Calibri Light"/>
      <w:sz w:val="48"/>
    </w:rPr>
  </w:style>
  <w:style w:type="paragraph" w:styleId="Heading1">
    <w:name w:val="heading 1"/>
    <w:basedOn w:val="Normal"/>
    <w:next w:val="Normal"/>
    <w:qFormat/>
    <w:pPr>
      <w:keepNext/>
      <w:spacing w:before="360" w:after="120"/>
      <w:outlineLvl w:val="0"/>
    </w:pPr>
    <w:rPr>
      <w:b/>
      <w:color w:val="1F3864"/>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60"/>
      <w:outlineLvl w:val="2"/>
    </w:pPr>
    <w:rPr>
      <w:b/>
      <w:i/>
      <w:color w:val="2F5496"/>
      <w:sz w:val="24"/>
    </w:rPr>
  </w:style>
  <w:style w:type="paragraph" w:styleId="ListParagraph">
    <w:name w:val="List Paragraph"/>
    <w:basedOn w:val="Normal"/>
    <w:qFormat/>
    <w:pPr>
      <w:spacing w:after="60"/>
      <w:ind w:left="720"/>
    </w:pPr>
  </w:style>
  <w:style w:type="paragraph" w:styleId="Caption">
    <w:name w:val="caption"/>
    <w:basedOn w:val="Normal"/>
    <w:next w:val="Normal"/>
    <w:qFormat/>
    <w:rPr>
      <w:i/>
      <w:color w:val="44546A"/>
      <w:sz w:val="18"/>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Header">
    <w:name w:val="header"/>
    <w:basedOn w:val="Normal"/>
    <w:pPr>
      <w:spacing w:after="0"/>
    </w:pPr>
  </w:style>
  <w:style w:type="paragraph" w:styleId="FootnoteText">
    <w:name w:val="footnote text"/>
    <w:basedOn w:val="Normal"/>
    <w:pPr>
      <w:spacing w:after="0" w:line="240" w:lineRule="auto"/>
    </w:pPr>
    <w:rPr>
      <w:sz w:val="20"/>
    </w:rPr>
  </w:style>
  <w:style w:type="paragraph" w:styleId="CommentText">
    <w:name w:val="annotation text"/>
    <w:basedOn w:val="Normal"/>
    <w:rPr>
      <w:sz w:val="20"/>
    </w:rPr>
  </w:style>
  <w:style w:type="character" w:default="1" w:styleId="DefaultParagraphFont">
    <w:name w:val="Default Paragraph Font"/>
    <w:uiPriority w:val="1"/>
    <w:semiHidden/>
  </w:style>
  <w:style w:type="character" w:styleId="FootnoteReference">
    <w:name w:val="footnote reference"/>
    <w:rPr>
      <w:vertAlign w:val="superscript"/>
    </w:rPr>
  </w:style>
  <w:style w:type="character" w:styleId="CommentReference">
    <w:name w:val="annotation reference"/>
    <w:rPr>
      <w:sz w:val="16"/>
    </w:rPr>
  </w:style>
  <w:style w:type="character" w:styleId="Hyperlink">
    <w:name w:val="Hyperlink"/>
    <w:rPr>
      <w:color w:val="0563C1"/>
      <w:u w:val="single"/>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06-edge-alignment_new.docx</dc:title>
  <dc:creator>docdiff test generator</dc:creator>
  <dcterms:created xsi:type="dcterms:W3CDTF">2026-09-01T10:00:00Z</dcterms:created>
</cp:coreProperties>
</file>