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9.8800659179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1884765625" w:line="240" w:lineRule="auto"/>
        <w:ind w:left="3115.4800415039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Solution Template </w:t>
      </w:r>
    </w:p>
    <w:tbl>
      <w:tblPr>
        <w:tblStyle w:val="Table1"/>
        <w:tblW w:w="9032.7194213867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4.919738769531"/>
        <w:gridCol w:w="4337.7996826171875"/>
        <w:tblGridChange w:id="0">
          <w:tblGrid>
            <w:gridCol w:w="4694.919738769531"/>
            <w:gridCol w:w="4337.7996826171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6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74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LTVIP2026TMIDS66419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8.9410400390625" w:right="107.447509765625" w:firstLine="4.857177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Optimizing user, group and role management  with access control and workflows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457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2351379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25830078125" w:line="240" w:lineRule="auto"/>
        <w:ind w:left="0" w:right="-6.400146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007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6892.80029296875" w:top="840" w:left="1440.4800415039062" w:right="926.4001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