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Architecture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LTVIP2026TMIDS66419</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Architecture: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40076446533203" w:lineRule="auto"/>
        <w:ind w:left="1.200103759765625" w:right="-6.400146484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architecture defines the high-level structural design of the proposed  system for optimizing user, group, and role management with access control and  workflows. The architecture follows a modular, layered, and scalable web-based  approach to ensure security, maintainability, and performance. It integrates user  lifecycle management, Role-Based Access Control (RBAC), and automated approval  workflows into a unified platform.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7.90071487426758" w:lineRule="auto"/>
        <w:ind w:left="6.00006103515625" w:right="-1.31713867187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designed using a three-tier architecture consisting of the Presentation  Layer, Application Layer, and Data Layer. This separation of concerns improves  system flexibility and allows independent scaling and maintenance of each  component.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88653564453" w:lineRule="auto"/>
        <w:ind w:left="7.920074462890625" w:right="3.5205078125" w:hanging="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Presentation Layer, a responsive web interface is provided for administrators,  managers, and end users. This layer handles user interactions such as login, access  requests, role assignment, and dashboard visualization. The frontend communicates  securely with backend services through RESTful APIs.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84814453125" w:line="247.90080070495605" w:lineRule="auto"/>
        <w:ind w:left="2.64007568359375" w:right="-1.0791015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Application Layer contains the core business logic of the system. It is responsible  for authentication, authorization, workflow processing, role and group management,  and audit logging. The RBAC engine within this layer evaluates user permissions  before granting access to resources. The workflow engine automates routing of  access requests to appropriate approvers and maintains approval history. Security  mechanisms such as token-based authentication and session validation are enforced  here.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52547645568848" w:lineRule="auto"/>
        <w:ind w:left="6.00006103515625" w:right="1.6821289062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Layer manages persistent storage of all system information. It includes  databases for users, roles, groups, permissions, workflow records, and audit logs.  Proper indexing and relational mapping are used to ensure fast query performance  and data integrity. Backup and recovery mechanisms are incorporated to maintain  reliability.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9471435546875" w:line="248.5671901702881" w:lineRule="auto"/>
        <w:ind w:left="0.48004150390625" w:right="-6.15966796875" w:firstLine="17.519989013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architectural components include the User Management Module, Role and Group  Management Module, Access Control Engine, Workflow Engine, Audit and Monitoring  Module, and Notification Service. These components interact through well-defined  APIs, enabling modular development and future extensibility.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8399925231934" w:lineRule="auto"/>
        <w:ind w:left="9.120025634765625" w:right="1.44165039062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 deployment perspective, the system supports both cloud-based and on premise environments. The architecture is designed to handle increasing numbers of  users and access requests without performance degradation. Security is enforced at  multiple layers through encrypted communication, secure authentication, and strict  authorization checks.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5693359375" w:line="247.90088653564453" w:lineRule="auto"/>
        <w:ind w:left="2.64007568359375" w:right="-6.400146484375" w:firstLine="9.35989379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Overall, the proposed solution architecture provides a robust foundation for centralized  access governance. It ensures streamlined administration, improved security posture,  faster access provisioning, and full audit visibility, making the system suitable for  modern enterprise environments.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1875" w:line="240" w:lineRule="auto"/>
        <w:ind w:left="18.000030517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 Solution Architecture Diagram</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4864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465576171875" w:right="0" w:firstLine="0"/>
        <w:jc w:val="left"/>
        <w:rPr>
          <w:rFonts w:ascii="Arial" w:cs="Arial" w:eastAsia="Arial" w:hAnsi="Arial"/>
          <w:b w:val="0"/>
          <w:bCs w:val="0"/>
          <w:i w:val="1"/>
          <w:iCs w:val="1"/>
          <w:smallCaps w:val="0"/>
          <w:strike w:val="0"/>
          <w:color w:val="333333"/>
          <w:sz w:val="21.1200008392334"/>
          <w:szCs w:val="21.1200008392334"/>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1.1200008392334"/>
          <w:szCs w:val="21.1200008392334"/>
          <w:u w:val="none"/>
          <w:shd w:fill="auto" w:val="clear"/>
          <w:vertAlign w:val="baseline"/>
          <w:rtl w:val="0"/>
        </w:rPr>
        <w:t xml:space="preserve">Figure 1: Architecture and data flow of the voice patient diary sample application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94921875" w:line="262.93850898742676" w:lineRule="auto"/>
        <w:ind w:left="14.16961669921875" w:right="562.918701171875" w:firstLine="1.545562744140625"/>
        <w:jc w:val="left"/>
        <w:rPr>
          <w:rFonts w:ascii="Calibri" w:cs="Calibri" w:eastAsia="Calibri" w:hAnsi="Calibri"/>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Reference: </w:t>
      </w:r>
      <w:r w:rsidDel="00000000" w:rsidR="00000000" w:rsidRPr="00000000">
        <w:rPr>
          <w:rFonts w:ascii="Calibri" w:cs="Calibri" w:eastAsia="Calibri" w:hAnsi="Calibri"/>
          <w:b w:val="1"/>
          <w:bCs w:val="1"/>
          <w:i w:val="0"/>
          <w:iCs w:val="0"/>
          <w:smallCaps w:val="0"/>
          <w:strike w:val="0"/>
          <w:color w:val="0563c1"/>
          <w:sz w:val="22.079999923706055"/>
          <w:szCs w:val="22.079999923706055"/>
          <w:u w:val="single"/>
          <w:shd w:fill="auto" w:val="clear"/>
          <w:vertAlign w:val="baseline"/>
          <w:rtl w:val="0"/>
        </w:rPr>
        <w:t xml:space="preserve">https://aws.amazon.com/blogs/industries/voice-applications-in-clinical-research powered-by-ai-on-aws-part-1-architecture-and-design-considerations/</w:t>
      </w:r>
    </w:p>
    <w:sectPr>
      <w:pgSz w:h="16820" w:w="11900" w:orient="portrait"/>
      <w:pgMar w:bottom="3074.8001098632812" w:top="837.60009765625" w:left="1440" w:right="1371.5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