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EA8FF" w14:textId="50499517" w:rsidR="000B3C26" w:rsidRPr="005042BB" w:rsidRDefault="000B3C26" w:rsidP="005042BB">
      <w:pPr>
        <w:pStyle w:val="Titre"/>
        <w:rPr>
          <w:sz w:val="40"/>
        </w:rPr>
      </w:pPr>
      <w:r w:rsidRPr="005042BB">
        <w:rPr>
          <w:sz w:val="40"/>
        </w:rPr>
        <w:t>Modèle</w:t>
      </w:r>
      <w:r w:rsidR="00071319" w:rsidRPr="005042BB">
        <w:rPr>
          <w:sz w:val="40"/>
        </w:rPr>
        <w:t>s numériques</w:t>
      </w:r>
      <w:r w:rsidRPr="005042BB">
        <w:rPr>
          <w:sz w:val="40"/>
        </w:rPr>
        <w:t xml:space="preserve"> de l’effet Morton</w:t>
      </w:r>
    </w:p>
    <w:p w14:paraId="6ED86745" w14:textId="19E3C1F7" w:rsidR="003372DD" w:rsidRDefault="003372DD" w:rsidP="003724EB"/>
    <w:p w14:paraId="72FB39C7" w14:textId="45CB510F" w:rsidR="004B4CB9" w:rsidRDefault="004B4CB9" w:rsidP="003724EB">
      <w:r w:rsidRPr="004B4CB9">
        <w:t xml:space="preserve">Les chercheurs et les ingénieurs se consacrent à l'amélioration du modèle de prédiction </w:t>
      </w:r>
      <w:r w:rsidR="00864E3F">
        <w:t>de l’effet M</w:t>
      </w:r>
      <w:bookmarkStart w:id="0" w:name="_GoBack"/>
      <w:bookmarkEnd w:id="0"/>
      <w:r w:rsidR="00864E3F">
        <w:t>orton</w:t>
      </w:r>
      <w:r w:rsidRPr="004B4CB9">
        <w:t xml:space="preserve">, qui implique souvent la résolution du problème multi-physique combinant la </w:t>
      </w:r>
      <w:r w:rsidR="009D68B6" w:rsidRPr="004B4CB9">
        <w:t>thermo</w:t>
      </w:r>
      <w:r w:rsidR="009D68B6">
        <w:t>-hydrodynamique</w:t>
      </w:r>
      <w:r w:rsidR="001B0C48">
        <w:t xml:space="preserve"> de la lubrification</w:t>
      </w:r>
      <w:r w:rsidRPr="004B4CB9">
        <w:t>, la dynamique de</w:t>
      </w:r>
      <w:r w:rsidR="00486C28">
        <w:t>s</w:t>
      </w:r>
      <w:r w:rsidRPr="004B4CB9">
        <w:t xml:space="preserve"> rot</w:t>
      </w:r>
      <w:r w:rsidR="00486C28">
        <w:t>ors</w:t>
      </w:r>
      <w:r w:rsidRPr="004B4CB9">
        <w:t xml:space="preserve"> et la </w:t>
      </w:r>
      <w:r w:rsidR="00486C28">
        <w:t>thermo</w:t>
      </w:r>
      <w:r w:rsidRPr="004B4CB9">
        <w:t xml:space="preserve">mécanique </w:t>
      </w:r>
      <w:r w:rsidR="00486C28">
        <w:t>des rotors</w:t>
      </w:r>
      <w:r>
        <w:t xml:space="preserve">. Ces modèles de prédiction peuvent globalement </w:t>
      </w:r>
      <w:r w:rsidR="00687CB6">
        <w:t>regroupés</w:t>
      </w:r>
      <w:r>
        <w:t xml:space="preserve"> par 4 catégories :</w:t>
      </w:r>
    </w:p>
    <w:p w14:paraId="47194F61" w14:textId="0B53414E" w:rsidR="002817AD" w:rsidRPr="004B4CB9" w:rsidRDefault="00833FE6" w:rsidP="003724EB">
      <w:r w:rsidRPr="004B4CB9">
        <w:rPr>
          <w:rFonts w:eastAsiaTheme="minorEastAsia"/>
          <w:lang w:eastAsia="zh-CN"/>
        </w:rPr>
        <w:t xml:space="preserve">                                                                                                                                                                                                                           </w:t>
      </w:r>
    </w:p>
    <w:p w14:paraId="5845973B" w14:textId="60C1D065" w:rsidR="00675419" w:rsidRPr="00675419" w:rsidRDefault="00E160FB" w:rsidP="00675419">
      <w:pPr>
        <w:pStyle w:val="Titre2"/>
      </w:pPr>
      <w:r w:rsidRPr="00675419">
        <w:t>Méthodes</w:t>
      </w:r>
      <w:r w:rsidR="003372DD" w:rsidRPr="00675419">
        <w:t xml:space="preserve"> inspiré</w:t>
      </w:r>
      <w:r w:rsidRPr="00675419">
        <w:t>e</w:t>
      </w:r>
      <w:r w:rsidR="003372DD" w:rsidRPr="00675419">
        <w:t xml:space="preserve">s </w:t>
      </w:r>
      <w:r w:rsidR="00F426E3">
        <w:t>de</w:t>
      </w:r>
      <w:r w:rsidR="003372DD" w:rsidRPr="00675419">
        <w:t xml:space="preserve"> la t</w:t>
      </w:r>
      <w:r w:rsidR="00F411A9" w:rsidRPr="00675419">
        <w:t>héorie</w:t>
      </w:r>
      <w:r w:rsidR="00171F92" w:rsidRPr="00675419">
        <w:t xml:space="preserve"> </w:t>
      </w:r>
      <w:r w:rsidR="008E2656" w:rsidRPr="00675419">
        <w:t>du</w:t>
      </w:r>
      <w:r w:rsidR="00171F92" w:rsidRPr="00675419">
        <w:t xml:space="preserve"> contrôle</w:t>
      </w:r>
    </w:p>
    <w:p w14:paraId="3C4A5B0D" w14:textId="2FFB5701" w:rsidR="003724EB" w:rsidRDefault="00171F92" w:rsidP="00675419">
      <w:r>
        <w:t xml:space="preserve"> </w:t>
      </w:r>
    </w:p>
    <w:p w14:paraId="0E4DE034" w14:textId="77777777" w:rsidR="00334A49" w:rsidRDefault="004B4CB9" w:rsidP="00F11CBE">
      <w:r>
        <w:t xml:space="preserve">La première catégorie se base sur la théorie du contrôle. </w:t>
      </w:r>
    </w:p>
    <w:p w14:paraId="35AA7F43" w14:textId="33F101E2" w:rsidR="00A14AF4" w:rsidRDefault="00A14AF4" w:rsidP="00F11CBE">
      <w:r w:rsidRPr="00A22718">
        <w:rPr>
          <w:b/>
        </w:rPr>
        <w:t>En 1993</w:t>
      </w:r>
      <w:r w:rsidRPr="00A22718">
        <w:t xml:space="preserve">, Koegh et Morton </w:t>
      </w:r>
      <w:r w:rsidRPr="00A22718">
        <w:rPr>
          <w:b/>
        </w:rPr>
        <w:fldChar w:fldCharType="begin"/>
      </w:r>
      <w:r w:rsidRPr="00A22718">
        <w:rPr>
          <w:b/>
        </w:rPr>
        <w:instrText xml:space="preserve"> REF _Ref444178598 \r \h  \* MERGEFORMAT </w:instrText>
      </w:r>
      <w:r w:rsidRPr="00A22718">
        <w:rPr>
          <w:b/>
        </w:rPr>
      </w:r>
      <w:r w:rsidRPr="00A22718">
        <w:rPr>
          <w:b/>
        </w:rPr>
        <w:fldChar w:fldCharType="separate"/>
      </w:r>
      <w:r w:rsidR="00246D55">
        <w:rPr>
          <w:b/>
        </w:rPr>
        <w:t>[1]</w:t>
      </w:r>
      <w:r w:rsidRPr="00A22718">
        <w:rPr>
          <w:b/>
        </w:rPr>
        <w:fldChar w:fldCharType="end"/>
      </w:r>
      <w:r w:rsidRPr="00A22718">
        <w:t xml:space="preserve"> proposent une approche analytique</w:t>
      </w:r>
      <w:r w:rsidR="00F11CBE">
        <w:t xml:space="preserve"> </w:t>
      </w:r>
      <w:r w:rsidR="00F11CBE" w:rsidRPr="00F11CBE">
        <w:t>avec mécanisme de rétroaction</w:t>
      </w:r>
      <w:r w:rsidR="00F11CBE">
        <w:t xml:space="preserve"> </w:t>
      </w:r>
      <w:r w:rsidRPr="00A22718">
        <w:t>pour</w:t>
      </w:r>
      <w:r w:rsidR="00F11CBE">
        <w:t xml:space="preserve"> prédire l’instabilité provoqué par l’effet Morton</w:t>
      </w:r>
      <w:r w:rsidRPr="00A22718">
        <w:t xml:space="preserve">. </w:t>
      </w:r>
      <w:r w:rsidR="00460DD1">
        <w:t>Cette</w:t>
      </w:r>
      <w:r w:rsidR="00F11CBE">
        <w:t xml:space="preserve"> méthode est reconnue comme le premier modèle complet dédié à l’analyse de l’effet Morton. </w:t>
      </w:r>
      <w:r w:rsidRPr="00A22718">
        <w:t>Dans leur modèle analytique, une orbite elliptique arbitraire est imposée au niveau du palier. Cette ellipse est décomposée en trois orbites circulaires : un cercle en position équilibrée et deux cercles de perturbation. Cette</w:t>
      </w:r>
      <w:r>
        <w:t xml:space="preserve"> technique a pour but d’écrire d</w:t>
      </w:r>
      <w:r w:rsidRPr="00A22718">
        <w:t>es relations mathématiques plus facilement et de voir les influences de précession directe et rétrograde séparément sur les paramètres du modèle tels que l’épaisseur de film (H), la température (T) et l’angle de flexion thermique (ψ). Ils utilisent l’approximation du palier court et supposent que le lubrifiant possède une viscosité constante afin de simplifier le</w:t>
      </w:r>
      <w:r>
        <w:t>s</w:t>
      </w:r>
      <w:r w:rsidRPr="00A22718">
        <w:t xml:space="preserve"> calcul</w:t>
      </w:r>
      <w:r>
        <w:t>s. Une fois</w:t>
      </w:r>
      <w:r w:rsidRPr="00A22718">
        <w:t xml:space="preserve"> la distribution de la température au sein du film lubrifiant obten</w:t>
      </w:r>
      <w:r>
        <w:t>ue, la conduction thermique dans le rotor est</w:t>
      </w:r>
      <w:r w:rsidRPr="00A22718">
        <w:t xml:space="preserve"> calculée. Le résultat de cette conduction permet d’avoir</w:t>
      </w:r>
      <w:r>
        <w:t xml:space="preserve"> la flexion</w:t>
      </w:r>
      <w:r w:rsidRPr="00A22718">
        <w:t xml:space="preserve"> du rotor grâce au travail de Dimoragonas en 1970</w:t>
      </w:r>
      <w:r w:rsidR="00C3121F">
        <w:rPr>
          <w:b/>
        </w:rPr>
        <w:t xml:space="preserve"> </w:t>
      </w:r>
      <w:r w:rsidR="00C3121F">
        <w:rPr>
          <w:b/>
        </w:rPr>
        <w:fldChar w:fldCharType="begin"/>
      </w:r>
      <w:r w:rsidR="00C3121F">
        <w:rPr>
          <w:b/>
        </w:rPr>
        <w:instrText xml:space="preserve"> REF _Ref444180595 \r \h </w:instrText>
      </w:r>
      <w:r w:rsidR="00C3121F">
        <w:rPr>
          <w:b/>
        </w:rPr>
      </w:r>
      <w:r w:rsidR="00C3121F">
        <w:rPr>
          <w:b/>
        </w:rPr>
        <w:fldChar w:fldCharType="separate"/>
      </w:r>
      <w:r w:rsidR="00246D55">
        <w:rPr>
          <w:b/>
        </w:rPr>
        <w:t>[3]</w:t>
      </w:r>
      <w:r w:rsidR="00C3121F">
        <w:rPr>
          <w:b/>
        </w:rPr>
        <w:fldChar w:fldCharType="end"/>
      </w:r>
      <w:r w:rsidRPr="00A22718">
        <w:t>. Enfin,</w:t>
      </w:r>
      <w:r w:rsidR="0049141C">
        <w:t xml:space="preserve"> inspiré de la théorie de contrôle,</w:t>
      </w:r>
      <w:r w:rsidRPr="00A22718">
        <w:t xml:space="preserve"> la stabilité</w:t>
      </w:r>
      <w:r w:rsidR="0049141C">
        <w:t xml:space="preserve"> du type l’effet Morton</w:t>
      </w:r>
      <w:r w:rsidRPr="00A22718">
        <w:t xml:space="preserve"> est étudiée en calculant le ratio G qui est un rapport entre la flexion initiale du rotor et celle due à la distribution de la température :</w:t>
      </w:r>
    </w:p>
    <w:p w14:paraId="4CA922C0" w14:textId="77777777" w:rsidR="00667AD4" w:rsidRDefault="00667AD4" w:rsidP="00F11CBE"/>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E33E3" w:rsidRPr="0081010A" w14:paraId="324FDAA5" w14:textId="77777777" w:rsidTr="00FE1987">
        <w:trPr>
          <w:trHeight w:val="635"/>
          <w:jc w:val="center"/>
        </w:trPr>
        <w:tc>
          <w:tcPr>
            <w:tcW w:w="7943" w:type="dxa"/>
            <w:vAlign w:val="center"/>
          </w:tcPr>
          <w:p w14:paraId="30F22D28" w14:textId="77777777" w:rsidR="009E33E3" w:rsidRPr="009E33E3" w:rsidRDefault="009E33E3" w:rsidP="00FE1987">
            <w:pPr>
              <w:spacing w:before="120" w:after="120"/>
              <w:jc w:val="center"/>
              <w:rPr>
                <w:rFonts w:eastAsia="SimSun"/>
                <w:i/>
                <w:sz w:val="24"/>
              </w:rPr>
            </w:pPr>
            <m:oMathPara>
              <m:oMath>
                <m:r>
                  <w:rPr>
                    <w:rFonts w:ascii="Cambria Math" w:hAnsi="Cambria Math"/>
                    <w:sz w:val="24"/>
                  </w:rPr>
                  <m:t>G=</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T</m:t>
                        </m:r>
                      </m:sub>
                    </m:sSub>
                  </m:num>
                  <m:den>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den>
                </m:f>
                <m:r>
                  <w:rPr>
                    <w:rFonts w:ascii="Cambria Math" w:hAnsi="Cambria Math"/>
                    <w:sz w:val="24"/>
                  </w:rPr>
                  <m:t xml:space="preserve"> </m:t>
                </m:r>
              </m:oMath>
            </m:oMathPara>
          </w:p>
          <w:p w14:paraId="55BB2E5F" w14:textId="77777777" w:rsidR="009E33E3" w:rsidRPr="00A22718" w:rsidRDefault="00FE1987" w:rsidP="009E33E3">
            <w:pPr>
              <w:spacing w:line="276" w:lineRule="auto"/>
              <w:rPr>
                <w:rFonts w:asciiTheme="minorHAnsi" w:hAnsiTheme="minorHAnsi"/>
                <w:i/>
                <w:sz w:val="20"/>
              </w:rPr>
            </w:pPr>
            <m:oMath>
              <m:sSub>
                <m:sSubPr>
                  <m:ctrlPr>
                    <w:rPr>
                      <w:rFonts w:ascii="Cambria Math" w:hAnsi="Cambria Math"/>
                      <w:i/>
                      <w:sz w:val="20"/>
                    </w:rPr>
                  </m:ctrlPr>
                </m:sSubPr>
                <m:e>
                  <m:r>
                    <w:rPr>
                      <w:rFonts w:ascii="Cambria Math" w:hAnsi="Cambria Math"/>
                      <w:sz w:val="20"/>
                    </w:rPr>
                    <m:t>β</m:t>
                  </m:r>
                </m:e>
                <m:sub>
                  <m:r>
                    <w:rPr>
                      <w:rFonts w:ascii="Cambria Math" w:hAnsi="Cambria Math"/>
                      <w:sz w:val="20"/>
                    </w:rPr>
                    <m:t>T</m:t>
                  </m:r>
                </m:sub>
              </m:sSub>
              <m:r>
                <w:rPr>
                  <w:rFonts w:ascii="Cambria Math" w:hAnsi="Cambria Math"/>
                  <w:sz w:val="20"/>
                </w:rPr>
                <m:t xml:space="preserve"> :angle de flexion dû à la chaleur non uniforme</m:t>
              </m:r>
            </m:oMath>
            <w:r w:rsidR="009E33E3" w:rsidRPr="00A22718">
              <w:rPr>
                <w:rFonts w:asciiTheme="minorHAnsi" w:hAnsiTheme="minorHAnsi"/>
                <w:i/>
                <w:sz w:val="20"/>
              </w:rPr>
              <w:t xml:space="preserve"> </w:t>
            </w:r>
          </w:p>
          <w:p w14:paraId="04095660" w14:textId="26F01142" w:rsidR="009E33E3" w:rsidRPr="009E33E3" w:rsidRDefault="00FE1987" w:rsidP="009E33E3">
            <w:pPr>
              <w:spacing w:line="276" w:lineRule="auto"/>
              <w:rPr>
                <w:rFonts w:asciiTheme="minorHAnsi" w:hAnsiTheme="minorHAnsi"/>
                <w:i/>
                <w:sz w:val="20"/>
              </w:rPr>
            </w:pPr>
            <m:oMath>
              <m:sSub>
                <m:sSubPr>
                  <m:ctrlPr>
                    <w:rPr>
                      <w:rFonts w:ascii="Cambria Math" w:hAnsi="Cambria Math"/>
                      <w:i/>
                      <w:sz w:val="20"/>
                    </w:rPr>
                  </m:ctrlPr>
                </m:sSubPr>
                <m:e>
                  <m:r>
                    <w:rPr>
                      <w:rFonts w:ascii="Cambria Math" w:hAnsi="Cambria Math"/>
                      <w:sz w:val="20"/>
                    </w:rPr>
                    <m:t>β</m:t>
                  </m:r>
                </m:e>
                <m:sub>
                  <m:r>
                    <w:rPr>
                      <w:rFonts w:ascii="Cambria Math" w:hAnsi="Cambria Math"/>
                      <w:sz w:val="20"/>
                    </w:rPr>
                    <m:t>0</m:t>
                  </m:r>
                </m:sub>
              </m:sSub>
              <m:r>
                <w:rPr>
                  <w:rFonts w:ascii="Cambria Math" w:hAnsi="Cambria Math"/>
                  <w:sz w:val="20"/>
                </w:rPr>
                <m:t xml:space="preserve"> :angle de flexion initial</m:t>
              </m:r>
            </m:oMath>
            <w:r w:rsidR="009E33E3">
              <w:rPr>
                <w:rFonts w:asciiTheme="minorHAnsi" w:hAnsiTheme="minorHAnsi"/>
                <w:i/>
                <w:sz w:val="20"/>
              </w:rPr>
              <w:t xml:space="preserve"> </w:t>
            </w:r>
          </w:p>
        </w:tc>
        <w:tc>
          <w:tcPr>
            <w:tcW w:w="1096" w:type="dxa"/>
            <w:vAlign w:val="center"/>
          </w:tcPr>
          <w:p w14:paraId="75434F8D" w14:textId="77777777" w:rsidR="009E33E3" w:rsidRPr="009E33E3" w:rsidRDefault="009E33E3" w:rsidP="00FE1987">
            <w:pPr>
              <w:pStyle w:val="Lgende"/>
              <w:keepNext/>
              <w:numPr>
                <w:ilvl w:val="0"/>
                <w:numId w:val="6"/>
              </w:numPr>
              <w:spacing w:before="120" w:after="120"/>
              <w:jc w:val="both"/>
              <w:rPr>
                <w:rFonts w:ascii="Times New Roman" w:eastAsia="Times New Roman" w:hAnsi="Times New Roman"/>
                <w:b/>
                <w:iCs w:val="0"/>
                <w:color w:val="auto"/>
                <w:sz w:val="22"/>
                <w:szCs w:val="22"/>
                <w:lang w:eastAsia="fr-FR"/>
              </w:rPr>
            </w:pPr>
            <w:r w:rsidRPr="009E33E3">
              <w:rPr>
                <w:rFonts w:ascii="Times New Roman" w:eastAsia="Times New Roman" w:hAnsi="Times New Roman"/>
                <w:b/>
                <w:iCs w:val="0"/>
                <w:color w:val="auto"/>
                <w:sz w:val="22"/>
                <w:szCs w:val="22"/>
                <w:lang w:eastAsia="fr-FR"/>
              </w:rPr>
              <w:t xml:space="preserve"> </w:t>
            </w:r>
          </w:p>
        </w:tc>
      </w:tr>
    </w:tbl>
    <w:p w14:paraId="4FA9CF8E" w14:textId="77777777" w:rsidR="009E33E3" w:rsidRDefault="009E33E3" w:rsidP="00A14AF4"/>
    <w:p w14:paraId="108A654F" w14:textId="5EB1DA13" w:rsidR="00A14AF4" w:rsidRDefault="00A14AF4" w:rsidP="00A14AF4">
      <w:r w:rsidRPr="00A22718">
        <w:t xml:space="preserve">Ils proposent que si Re(G)&gt;1, l’instabilité sera amplifiée alors que si Re(G) &lt;1, celle-ci sera atténuée. Cependant, le balourd thermique dû à la partie en porte-à-faux n’est pas pris en compte dans le calcul. </w:t>
      </w:r>
      <w:r w:rsidRPr="00A22718">
        <w:rPr>
          <w:b/>
        </w:rPr>
        <w:t>Un an après</w:t>
      </w:r>
      <w:r w:rsidRPr="00A22718">
        <w:t xml:space="preserve">, </w:t>
      </w:r>
      <w:r w:rsidR="006D259E" w:rsidRPr="00A22718">
        <w:t>Koegh et Morton</w:t>
      </w:r>
      <w:r w:rsidR="006D259E">
        <w:t xml:space="preserve"> </w:t>
      </w:r>
      <w:r w:rsidR="006D259E" w:rsidRPr="006D259E">
        <w:rPr>
          <w:b/>
        </w:rPr>
        <w:fldChar w:fldCharType="begin"/>
      </w:r>
      <w:r w:rsidR="006D259E" w:rsidRPr="006D259E">
        <w:rPr>
          <w:b/>
        </w:rPr>
        <w:instrText xml:space="preserve"> REF _Ref523082734 \r \h  \* MERGEFORMAT </w:instrText>
      </w:r>
      <w:r w:rsidR="006D259E" w:rsidRPr="006D259E">
        <w:rPr>
          <w:b/>
        </w:rPr>
      </w:r>
      <w:r w:rsidR="006D259E" w:rsidRPr="006D259E">
        <w:rPr>
          <w:b/>
        </w:rPr>
        <w:fldChar w:fldCharType="separate"/>
      </w:r>
      <w:r w:rsidR="00246D55">
        <w:rPr>
          <w:b/>
        </w:rPr>
        <w:t>[2]</w:t>
      </w:r>
      <w:r w:rsidR="006D259E" w:rsidRPr="006D259E">
        <w:rPr>
          <w:b/>
        </w:rPr>
        <w:fldChar w:fldCharType="end"/>
      </w:r>
      <w:r w:rsidRPr="00A22718">
        <w:t xml:space="preserve"> ont adapté le modèle pour étudier l’instabilité vibratoire engendrée par la distribution non-uniforme de la température en régime transitoire. Dans ce modèle amélioré, la flexion thermique </w:t>
      </w:r>
      <w:r>
        <w:t>dépend</w:t>
      </w:r>
      <w:r w:rsidRPr="00A22718">
        <w:t xml:space="preserve"> du temps. Cette flexion est calculée en combinant les équations du transfert de la chaleur vers le rotor et celles de la dynamique des rotors dans le domaine fréquentiel. Elle est également intégrée dans le modèle du rotor complet afin d’évaluer la stabilité du système. Les caractéristiques de la stabilité sont présentées par un diagramme de Nyquist. L’application de ce modèle sur un système de rotor avec un disque monté en porte-à-faux montre que l’instabilité vibratoire peut avoir lieu à grandes vitesses de rotation et autour des vitesses critiques. Les systèmes présentant des structures en porte-à faux sont plus à même d’engendrer ce type d’instabilité.</w:t>
      </w:r>
    </w:p>
    <w:p w14:paraId="229B6966" w14:textId="77777777" w:rsidR="00925AEA" w:rsidRDefault="002543F1" w:rsidP="00925AEA">
      <w:pPr>
        <w:keepNext/>
        <w:jc w:val="center"/>
      </w:pPr>
      <w:r>
        <w:rPr>
          <w:noProof/>
          <w:lang w:eastAsia="zh-CN"/>
        </w:rPr>
        <w:lastRenderedPageBreak/>
        <w:drawing>
          <wp:inline distT="0" distB="0" distL="0" distR="0" wp14:anchorId="0441B88C" wp14:editId="42C5B495">
            <wp:extent cx="2209800" cy="1502062"/>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6142" cy="1506373"/>
                    </a:xfrm>
                    <a:prstGeom prst="rect">
                      <a:avLst/>
                    </a:prstGeom>
                  </pic:spPr>
                </pic:pic>
              </a:graphicData>
            </a:graphic>
          </wp:inline>
        </w:drawing>
      </w:r>
    </w:p>
    <w:p w14:paraId="7AD3ADFC" w14:textId="78AC7A13" w:rsidR="002543F1" w:rsidRDefault="00925AEA" w:rsidP="00925AEA">
      <w:pPr>
        <w:pStyle w:val="Lgende"/>
        <w:jc w:val="center"/>
      </w:pPr>
      <w:bookmarkStart w:id="1" w:name="_Ref523084129"/>
      <w:r>
        <w:t xml:space="preserve">Figure </w:t>
      </w:r>
      <w:fldSimple w:instr=" SEQ Figure \* ARABIC ">
        <w:r w:rsidR="004F4E02">
          <w:rPr>
            <w:noProof/>
          </w:rPr>
          <w:t>1</w:t>
        </w:r>
      </w:fldSimple>
      <w:bookmarkEnd w:id="1"/>
    </w:p>
    <w:p w14:paraId="39133CDF" w14:textId="16051ADF" w:rsidR="007511C7" w:rsidRPr="0088710B" w:rsidRDefault="002E09BF" w:rsidP="00296CF9">
      <w:r w:rsidRPr="002E09BF">
        <w:rPr>
          <w:b/>
        </w:rPr>
        <w:t>En 1998</w:t>
      </w:r>
      <w:r w:rsidR="00555252">
        <w:t xml:space="preserve">, </w:t>
      </w:r>
      <w:r w:rsidR="007511C7" w:rsidRPr="00D86982">
        <w:t xml:space="preserve">de Jongh </w:t>
      </w:r>
      <w:r w:rsidR="007511C7" w:rsidRPr="007511C7">
        <w:rPr>
          <w:b/>
          <w:lang w:val="en-US"/>
        </w:rPr>
        <w:fldChar w:fldCharType="begin"/>
      </w:r>
      <w:r w:rsidR="007511C7" w:rsidRPr="00D86982">
        <w:rPr>
          <w:b/>
        </w:rPr>
        <w:instrText xml:space="preserve"> REF _Ref523083697 \r \h  \* MERGEFORMAT </w:instrText>
      </w:r>
      <w:r w:rsidR="007511C7" w:rsidRPr="007511C7">
        <w:rPr>
          <w:b/>
          <w:lang w:val="en-US"/>
        </w:rPr>
      </w:r>
      <w:r w:rsidR="007511C7" w:rsidRPr="007511C7">
        <w:rPr>
          <w:b/>
          <w:lang w:val="en-US"/>
        </w:rPr>
        <w:fldChar w:fldCharType="separate"/>
      </w:r>
      <w:r w:rsidR="00246D55">
        <w:rPr>
          <w:b/>
        </w:rPr>
        <w:t>[4]</w:t>
      </w:r>
      <w:r w:rsidR="007511C7" w:rsidRPr="007511C7">
        <w:rPr>
          <w:b/>
          <w:lang w:val="en-US"/>
        </w:rPr>
        <w:fldChar w:fldCharType="end"/>
      </w:r>
      <w:r w:rsidR="007511C7" w:rsidRPr="00D86982">
        <w:rPr>
          <w:b/>
        </w:rPr>
        <w:t xml:space="preserve"> </w:t>
      </w:r>
      <w:r w:rsidR="00D86982" w:rsidRPr="00D86982">
        <w:t xml:space="preserve">a adopté </w:t>
      </w:r>
      <w:r w:rsidR="0021189E">
        <w:t>une</w:t>
      </w:r>
      <w:r w:rsidR="00D86982">
        <w:t xml:space="preserve"> stratégie</w:t>
      </w:r>
      <w:r w:rsidR="0021189E">
        <w:t xml:space="preserve"> similaire</w:t>
      </w:r>
      <w:r w:rsidR="00D86982">
        <w:t xml:space="preserve"> de modélisation.</w:t>
      </w:r>
      <w:r w:rsidR="00556083">
        <w:t xml:space="preserve"> Il a modélisé la flexion thermique par un balourd thermique</w:t>
      </w:r>
      <w:r w:rsidR="00556083" w:rsidRPr="00D86982">
        <w:t xml:space="preserve"> qui </w:t>
      </w:r>
      <w:r w:rsidR="00556083">
        <w:t>est</w:t>
      </w:r>
      <w:r w:rsidR="00556083" w:rsidRPr="00D86982">
        <w:t xml:space="preserve"> le produit de la masse et de la distance </w:t>
      </w:r>
      <w:r w:rsidR="00556083">
        <w:t>déviée de l’axe de rotation</w:t>
      </w:r>
      <w:r w:rsidR="00556083" w:rsidRPr="00D86982">
        <w:t>.</w:t>
      </w:r>
      <w:r w:rsidR="00556083">
        <w:t xml:space="preserve"> Le balourd total est la somme vectorielle du balourd mécanique initial et le balourd thermique généré. </w:t>
      </w:r>
      <w:r w:rsidR="0021189E">
        <w:t xml:space="preserve">Il a utilisé les fonctions de transferts </w:t>
      </w:r>
      <m:oMath>
        <m:acc>
          <m:accPr>
            <m:chr m:val="̅"/>
            <m:ctrlPr>
              <w:rPr>
                <w:rFonts w:ascii="Cambria Math" w:hAnsi="Cambria Math"/>
                <w:b/>
                <w:i/>
              </w:rPr>
            </m:ctrlPr>
          </m:accPr>
          <m:e>
            <m:r>
              <m:rPr>
                <m:sty m:val="bi"/>
              </m:rPr>
              <w:rPr>
                <w:rFonts w:ascii="Cambria Math" w:hAnsi="Cambria Math"/>
              </w:rPr>
              <m:t>A</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C</m:t>
            </m:r>
          </m:e>
        </m:acc>
      </m:oMath>
      <w:r w:rsidR="0021189E">
        <w:t xml:space="preserve"> pour présenter la contribution de l’effet thermique au niveau du palier hydrodynamique à l’instabilité, à</w:t>
      </w:r>
      <w:r w:rsidR="0021189E" w:rsidRPr="0021189E">
        <w:t xml:space="preserve"> savoir,</w:t>
      </w:r>
      <w:r w:rsidR="0021189E" w:rsidRPr="00556083">
        <w:rPr>
          <w:b/>
        </w:rPr>
        <w:t xml:space="preserve"> </w:t>
      </w:r>
      <m:oMath>
        <m:acc>
          <m:accPr>
            <m:chr m:val="̅"/>
            <m:ctrlPr>
              <w:rPr>
                <w:rFonts w:ascii="Cambria Math" w:hAnsi="Cambria Math"/>
                <w:b/>
                <w:i/>
              </w:rPr>
            </m:ctrlPr>
          </m:accPr>
          <m:e>
            <m:r>
              <m:rPr>
                <m:sty m:val="bi"/>
              </m:rPr>
              <w:rPr>
                <w:rFonts w:ascii="Cambria Math" w:hAnsi="Cambria Math"/>
              </w:rPr>
              <m:t>A</m:t>
            </m:r>
          </m:e>
        </m:acc>
      </m:oMath>
      <w:r w:rsidR="0021189E" w:rsidRPr="0021189E">
        <w:t xml:space="preserve">  </w:t>
      </w:r>
      <w:r w:rsidR="0021189E">
        <w:t xml:space="preserve">décrit la relation entre la vibration et le balourd, </w:t>
      </w:r>
      <m:oMath>
        <m:acc>
          <m:accPr>
            <m:chr m:val="̅"/>
            <m:ctrlPr>
              <w:rPr>
                <w:rFonts w:ascii="Cambria Math" w:hAnsi="Cambria Math"/>
                <w:b/>
                <w:i/>
              </w:rPr>
            </m:ctrlPr>
          </m:accPr>
          <m:e>
            <m:r>
              <m:rPr>
                <m:sty m:val="bi"/>
              </m:rPr>
              <w:rPr>
                <w:rFonts w:ascii="Cambria Math" w:hAnsi="Cambria Math"/>
              </w:rPr>
              <m:t>B</m:t>
            </m:r>
          </m:e>
        </m:acc>
      </m:oMath>
      <w:r w:rsidR="0021189E">
        <w:t xml:space="preserve"> </w:t>
      </w:r>
      <w:r w:rsidR="0021189E" w:rsidRPr="0021189E">
        <w:t>caractérise la sensibilité de la différence de la température</w:t>
      </w:r>
      <w:r w:rsidR="0021189E">
        <w:t xml:space="preserve"> Δ</w:t>
      </w:r>
      <w:r w:rsidR="0021189E">
        <w:rPr>
          <w:rFonts w:ascii="Cambria Math" w:hAnsi="Cambria Math" w:cs="Cambria Math"/>
        </w:rPr>
        <w:t>𝑇</w:t>
      </w:r>
      <w:r w:rsidR="0021189E" w:rsidRPr="0021189E">
        <w:t xml:space="preserve"> à la surface de rotor par rapport </w:t>
      </w:r>
      <w:r w:rsidR="0021189E" w:rsidRPr="0021189E">
        <w:rPr>
          <w:rFonts w:cs="Calibri"/>
        </w:rPr>
        <w:t>à</w:t>
      </w:r>
      <w:r w:rsidR="00B86A1E">
        <w:t xml:space="preserve"> la vibration, </w:t>
      </w:r>
      <m:oMath>
        <m:acc>
          <m:accPr>
            <m:chr m:val="⃗"/>
            <m:ctrlPr>
              <w:rPr>
                <w:rFonts w:ascii="Cambria Math" w:hAnsi="Cambria Math"/>
                <w:b/>
                <w:i/>
              </w:rPr>
            </m:ctrlPr>
          </m:accPr>
          <m:e>
            <m:r>
              <m:rPr>
                <m:sty m:val="bi"/>
              </m:rPr>
              <w:rPr>
                <w:rFonts w:ascii="Cambria Math" w:hAnsi="Cambria Math"/>
              </w:rPr>
              <m:t>C</m:t>
            </m:r>
          </m:e>
        </m:acc>
      </m:oMath>
      <w:r w:rsidR="00B86A1E">
        <w:t xml:space="preserve"> permet d’exprimer la sensibilité du balourd thermique généré par la déformation thermique de rotor par rapport à la différence de la température Δ</w:t>
      </w:r>
      <w:r w:rsidR="00B86A1E">
        <w:rPr>
          <w:rFonts w:ascii="Cambria Math" w:hAnsi="Cambria Math" w:cs="Cambria Math"/>
        </w:rPr>
        <w:t>𝑇</w:t>
      </w:r>
      <w:r w:rsidR="00B86A1E">
        <w:rPr>
          <w:lang w:eastAsia="en-US"/>
        </w:rPr>
        <w:t xml:space="preserve">. </w:t>
      </w:r>
      <w:r w:rsidR="00556083">
        <w:rPr>
          <w:lang w:eastAsia="en-US"/>
        </w:rPr>
        <w:t xml:space="preserve"> </w:t>
      </w:r>
      <w:r w:rsidR="002030BF">
        <w:t>Le niveau de vibration au niveau du palier est calculé à partir de cette somme du balourd.</w:t>
      </w:r>
      <w:r w:rsidR="00971668">
        <w:t xml:space="preserve"> Comme </w:t>
      </w:r>
      <w:r w:rsidR="0035638D">
        <w:t xml:space="preserve">illustré dans la "structure 2" dans la </w:t>
      </w:r>
      <w:r w:rsidR="0035638D">
        <w:fldChar w:fldCharType="begin"/>
      </w:r>
      <w:r w:rsidR="0035638D">
        <w:instrText xml:space="preserve"> REF _Ref523084129 \h </w:instrText>
      </w:r>
      <w:r w:rsidR="0035638D">
        <w:fldChar w:fldCharType="separate"/>
      </w:r>
      <w:r w:rsidR="00246D55">
        <w:t xml:space="preserve">Figure </w:t>
      </w:r>
      <w:r w:rsidR="00246D55">
        <w:rPr>
          <w:noProof/>
        </w:rPr>
        <w:t>1</w:t>
      </w:r>
      <w:r w:rsidR="0035638D">
        <w:fldChar w:fldCharType="end"/>
      </w:r>
      <w:r w:rsidR="0035638D">
        <w:t xml:space="preserve">, le produit vectoriel </w:t>
      </w:r>
      <m:oMath>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C</m:t>
            </m:r>
          </m:e>
        </m:acc>
      </m:oMath>
      <w:r w:rsidR="002030BF">
        <w:t xml:space="preserve"> </w:t>
      </w:r>
      <w:r w:rsidR="0035638D">
        <w:t xml:space="preserve">est équivalent au ratio G dans la </w:t>
      </w:r>
      <w:r w:rsidR="00C33476">
        <w:t>structure</w:t>
      </w:r>
      <w:r w:rsidR="0035638D">
        <w:t xml:space="preserve"> 1</w:t>
      </w:r>
      <w:r w:rsidR="00C33476">
        <w:t>.</w:t>
      </w:r>
    </w:p>
    <w:p w14:paraId="5CA3357A" w14:textId="791402FF" w:rsidR="00276162" w:rsidRDefault="00667148" w:rsidP="0021189E">
      <w:r w:rsidRPr="00667148">
        <w:t xml:space="preserve">Les fonctions de transfert </w:t>
      </w:r>
      <m:oMath>
        <m:acc>
          <m:accPr>
            <m:chr m:val="̅"/>
            <m:ctrlPr>
              <w:rPr>
                <w:rFonts w:ascii="Cambria Math" w:hAnsi="Cambria Math"/>
                <w:b/>
                <w:i/>
              </w:rPr>
            </m:ctrlPr>
          </m:accPr>
          <m:e>
            <m:r>
              <m:rPr>
                <m:sty m:val="bi"/>
              </m:rPr>
              <w:rPr>
                <w:rFonts w:ascii="Cambria Math" w:hAnsi="Cambria Math"/>
              </w:rPr>
              <m:t>A</m:t>
            </m:r>
          </m:e>
        </m:acc>
      </m:oMath>
      <w:r w:rsidRPr="00667148">
        <w:t xml:space="preserve"> et </w:t>
      </w:r>
      <m:oMath>
        <m:acc>
          <m:accPr>
            <m:chr m:val="̅"/>
            <m:ctrlPr>
              <w:rPr>
                <w:rFonts w:ascii="Cambria Math" w:hAnsi="Cambria Math"/>
                <w:b/>
                <w:i/>
              </w:rPr>
            </m:ctrlPr>
          </m:accPr>
          <m:e>
            <m:r>
              <m:rPr>
                <m:sty m:val="bi"/>
              </m:rPr>
              <w:rPr>
                <w:rFonts w:ascii="Cambria Math" w:hAnsi="Cambria Math"/>
              </w:rPr>
              <m:t>C</m:t>
            </m:r>
          </m:e>
        </m:acc>
      </m:oMath>
      <w:r w:rsidRPr="00667148">
        <w:t xml:space="preserve"> ont été calculées par simulation, tandis que </w:t>
      </w:r>
      <m:oMath>
        <m:acc>
          <m:accPr>
            <m:chr m:val="̅"/>
            <m:ctrlPr>
              <w:rPr>
                <w:rFonts w:ascii="Cambria Math" w:hAnsi="Cambria Math"/>
                <w:b/>
                <w:i/>
              </w:rPr>
            </m:ctrlPr>
          </m:accPr>
          <m:e>
            <m:r>
              <m:rPr>
                <m:sty m:val="bi"/>
              </m:rPr>
              <w:rPr>
                <w:rFonts w:ascii="Cambria Math" w:hAnsi="Cambria Math"/>
              </w:rPr>
              <m:t>B</m:t>
            </m:r>
          </m:e>
        </m:acc>
      </m:oMath>
      <w:r w:rsidRPr="00667148">
        <w:t xml:space="preserve"> a été </w:t>
      </w:r>
      <w:r w:rsidR="005377A7">
        <w:t>acquise à partir des données d’essai</w:t>
      </w:r>
      <w:r w:rsidR="008337B8">
        <w:t xml:space="preserve"> </w:t>
      </w:r>
      <w:r w:rsidR="008337B8" w:rsidRPr="007511C7">
        <w:rPr>
          <w:b/>
          <w:lang w:val="en-US"/>
        </w:rPr>
        <w:fldChar w:fldCharType="begin"/>
      </w:r>
      <w:r w:rsidR="008337B8" w:rsidRPr="00D86982">
        <w:rPr>
          <w:b/>
        </w:rPr>
        <w:instrText xml:space="preserve"> REF _Ref523083697 \r \h  \* MERGEFORMAT </w:instrText>
      </w:r>
      <w:r w:rsidR="008337B8" w:rsidRPr="007511C7">
        <w:rPr>
          <w:b/>
          <w:lang w:val="en-US"/>
        </w:rPr>
      </w:r>
      <w:r w:rsidR="008337B8" w:rsidRPr="007511C7">
        <w:rPr>
          <w:b/>
          <w:lang w:val="en-US"/>
        </w:rPr>
        <w:fldChar w:fldCharType="separate"/>
      </w:r>
      <w:r w:rsidR="00246D55">
        <w:rPr>
          <w:b/>
        </w:rPr>
        <w:t>[4]</w:t>
      </w:r>
      <w:r w:rsidR="008337B8" w:rsidRPr="007511C7">
        <w:rPr>
          <w:b/>
          <w:lang w:val="en-US"/>
        </w:rPr>
        <w:fldChar w:fldCharType="end"/>
      </w:r>
      <w:r w:rsidR="005377A7">
        <w:t>.</w:t>
      </w:r>
      <w:r w:rsidR="00A75749">
        <w:t xml:space="preserve"> </w:t>
      </w:r>
      <w:r w:rsidR="00A75749" w:rsidRPr="00A75749">
        <w:t xml:space="preserve">Cette méthode a été appliquée à un compresseur </w:t>
      </w:r>
      <w:r w:rsidR="00A75749">
        <w:t>avec</w:t>
      </w:r>
      <w:r w:rsidR="00A75749" w:rsidRPr="00A75749">
        <w:t xml:space="preserve"> </w:t>
      </w:r>
      <w:r w:rsidR="00A75749">
        <w:t>deux disques en porte à faux</w:t>
      </w:r>
      <w:r w:rsidR="00A75749" w:rsidRPr="00A75749">
        <w:t xml:space="preserve"> </w:t>
      </w:r>
      <w:r w:rsidR="001F6207" w:rsidRPr="002E09BF">
        <w:rPr>
          <w:b/>
        </w:rPr>
        <w:fldChar w:fldCharType="begin"/>
      </w:r>
      <w:r w:rsidR="001F6207" w:rsidRPr="002E09BF">
        <w:rPr>
          <w:b/>
        </w:rPr>
        <w:instrText xml:space="preserve"> REF _Ref523085716 \r \h </w:instrText>
      </w:r>
      <w:r w:rsidR="002E09BF">
        <w:rPr>
          <w:b/>
        </w:rPr>
        <w:instrText xml:space="preserve"> \* MERGEFORMAT </w:instrText>
      </w:r>
      <w:r w:rsidR="001F6207" w:rsidRPr="002E09BF">
        <w:rPr>
          <w:b/>
        </w:rPr>
      </w:r>
      <w:r w:rsidR="001F6207" w:rsidRPr="002E09BF">
        <w:rPr>
          <w:b/>
        </w:rPr>
        <w:fldChar w:fldCharType="separate"/>
      </w:r>
      <w:r w:rsidR="00246D55">
        <w:rPr>
          <w:b/>
        </w:rPr>
        <w:t>[5]</w:t>
      </w:r>
      <w:r w:rsidR="001F6207" w:rsidRPr="002E09BF">
        <w:rPr>
          <w:b/>
        </w:rPr>
        <w:fldChar w:fldCharType="end"/>
      </w:r>
      <w:r w:rsidR="00A75749" w:rsidRPr="00A75749">
        <w:t xml:space="preserve"> et la vitesse d'instabilité prédite était d'environ 10 500 tr / min, ce qui concordait avec l'observation.</w:t>
      </w:r>
    </w:p>
    <w:p w14:paraId="4E3C3DF5" w14:textId="3736B752" w:rsidR="00DD0AC7" w:rsidRDefault="00DD0AC7" w:rsidP="0021189E"/>
    <w:p w14:paraId="7597E305" w14:textId="6B3B5D95" w:rsidR="00574681" w:rsidRDefault="00574681" w:rsidP="00574681">
      <w:r w:rsidRPr="00214DA2">
        <w:rPr>
          <w:b/>
        </w:rPr>
        <w:t>En 2010</w:t>
      </w:r>
      <w:r>
        <w:rPr>
          <w:rFonts w:hint="eastAsia"/>
        </w:rPr>
        <w:t xml:space="preserve">, </w:t>
      </w:r>
      <w:r>
        <w:t>J.A. Lorentz et B.T. Murphy</w:t>
      </w:r>
      <w:r w:rsidR="00A60A77">
        <w:t xml:space="preserve"> </w:t>
      </w:r>
      <w:r w:rsidR="00FF655A" w:rsidRPr="00FF655A">
        <w:rPr>
          <w:b/>
        </w:rPr>
        <w:fldChar w:fldCharType="begin"/>
      </w:r>
      <w:r w:rsidR="00FF655A" w:rsidRPr="00FF655A">
        <w:rPr>
          <w:b/>
        </w:rPr>
        <w:instrText xml:space="preserve"> REF _Ref523086107 \r \h </w:instrText>
      </w:r>
      <w:r w:rsidR="00FF655A">
        <w:rPr>
          <w:b/>
        </w:rPr>
        <w:instrText xml:space="preserve"> \* MERGEFORMAT </w:instrText>
      </w:r>
      <w:r w:rsidR="00FF655A" w:rsidRPr="00FF655A">
        <w:rPr>
          <w:b/>
        </w:rPr>
      </w:r>
      <w:r w:rsidR="00FF655A" w:rsidRPr="00FF655A">
        <w:rPr>
          <w:b/>
        </w:rPr>
        <w:fldChar w:fldCharType="separate"/>
      </w:r>
      <w:r w:rsidR="00246D55">
        <w:rPr>
          <w:b/>
        </w:rPr>
        <w:t>[6]</w:t>
      </w:r>
      <w:r w:rsidR="00FF655A" w:rsidRPr="00FF655A">
        <w:rPr>
          <w:b/>
        </w:rPr>
        <w:fldChar w:fldCharType="end"/>
      </w:r>
      <w:r>
        <w:t xml:space="preserve"> ont </w:t>
      </w:r>
      <w:r w:rsidR="00FF655A">
        <w:t xml:space="preserve">complété la méthode de Jongh et traité les fonctions de transfert présenté en </w:t>
      </w:r>
      <w:r w:rsidR="00FF655A" w:rsidRPr="00FF655A">
        <w:rPr>
          <w:b/>
        </w:rPr>
        <w:fldChar w:fldCharType="begin"/>
      </w:r>
      <w:r w:rsidR="00FF655A" w:rsidRPr="00FF655A">
        <w:rPr>
          <w:b/>
        </w:rPr>
        <w:instrText xml:space="preserve"> REF _Ref523083697 \r \h </w:instrText>
      </w:r>
      <w:r w:rsidR="00FF655A">
        <w:rPr>
          <w:b/>
        </w:rPr>
        <w:instrText xml:space="preserve"> \* MERGEFORMAT </w:instrText>
      </w:r>
      <w:r w:rsidR="00FF655A" w:rsidRPr="00FF655A">
        <w:rPr>
          <w:b/>
        </w:rPr>
      </w:r>
      <w:r w:rsidR="00FF655A" w:rsidRPr="00FF655A">
        <w:rPr>
          <w:b/>
        </w:rPr>
        <w:fldChar w:fldCharType="separate"/>
      </w:r>
      <w:r w:rsidR="00246D55">
        <w:rPr>
          <w:b/>
        </w:rPr>
        <w:t>[4]</w:t>
      </w:r>
      <w:r w:rsidR="00FF655A" w:rsidRPr="00FF655A">
        <w:rPr>
          <w:b/>
        </w:rPr>
        <w:fldChar w:fldCharType="end"/>
      </w:r>
      <w:r w:rsidR="00FF655A">
        <w:t xml:space="preserve"> comme d</w:t>
      </w:r>
      <w:r>
        <w:t xml:space="preserve">es </w:t>
      </w:r>
      <w:r w:rsidR="00FC370F">
        <w:t xml:space="preserve">vecteur de </w:t>
      </w:r>
      <w:r>
        <w:t xml:space="preserve">coefficients d’influence pour analyser l’instabilité vibratoire provoquée par l’effet Morton. Cette approche suppose que la réponse thermique ne dépende que de la réponse dynamique en régime stationnaire, ainsi la vibration du rotor est assumée tous les temps en quasi-statique. </w:t>
      </w:r>
    </w:p>
    <w:p w14:paraId="5EED3777" w14:textId="77777777" w:rsidR="00574681" w:rsidRDefault="00574681" w:rsidP="00574681">
      <w:r>
        <w:rPr>
          <w:rFonts w:hint="eastAsia"/>
        </w:rPr>
        <w:t xml:space="preserve">Cette approche </w:t>
      </w:r>
      <w:r>
        <w:t>décrit</w:t>
      </w:r>
      <w:r>
        <w:rPr>
          <w:rFonts w:hint="eastAsia"/>
        </w:rPr>
        <w:t xml:space="preserve"> </w:t>
      </w:r>
      <w:r>
        <w:t>l’effet Morton par trois coefficients d’influence</w:t>
      </w:r>
      <m:oMath>
        <m:r>
          <w:rPr>
            <w:rFonts w:ascii="Cambria Math" w:hAnsi="Cambria Math"/>
          </w:rPr>
          <m:t xml:space="preserve"> </m:t>
        </m:r>
        <m:acc>
          <m:accPr>
            <m:chr m:val="⃗"/>
            <m:ctrlPr>
              <w:rPr>
                <w:rFonts w:ascii="Cambria Math" w:hAnsi="Cambria Math"/>
                <w:i/>
              </w:rPr>
            </m:ctrlPr>
          </m:accPr>
          <m:e>
            <m:r>
              <w:rPr>
                <w:rFonts w:ascii="Cambria Math" w:hAnsi="Cambria Math"/>
              </w:rPr>
              <m:t>A</m:t>
            </m:r>
          </m:e>
        </m:acc>
        <m:r>
          <w:rPr>
            <w:rFonts w:ascii="Cambria Math" w:hAnsi="Cambria Math"/>
          </w:rPr>
          <m:t xml:space="preserve">, </m:t>
        </m:r>
        <m:acc>
          <m:accPr>
            <m:chr m:val="⃗"/>
            <m:ctrlPr>
              <w:rPr>
                <w:rFonts w:ascii="Cambria Math" w:hAnsi="Cambria Math"/>
                <w:i/>
              </w:rPr>
            </m:ctrlPr>
          </m:accPr>
          <m:e>
            <m:r>
              <w:rPr>
                <w:rFonts w:ascii="Cambria Math" w:hAnsi="Cambria Math"/>
              </w:rPr>
              <m:t>B</m:t>
            </m:r>
          </m:e>
        </m:acc>
        <m:r>
          <w:rPr>
            <w:rFonts w:ascii="Cambria Math" w:hAnsi="Cambria Math"/>
          </w:rPr>
          <m:t xml:space="preserve">, </m:t>
        </m:r>
        <m:acc>
          <m:accPr>
            <m:chr m:val="⃗"/>
            <m:ctrlPr>
              <w:rPr>
                <w:rFonts w:ascii="Cambria Math" w:hAnsi="Cambria Math"/>
                <w:i/>
              </w:rPr>
            </m:ctrlPr>
          </m:accPr>
          <m:e>
            <m:r>
              <w:rPr>
                <w:rFonts w:ascii="Cambria Math" w:hAnsi="Cambria Math"/>
              </w:rPr>
              <m:t>C</m:t>
            </m:r>
          </m:e>
        </m:acc>
      </m:oMath>
      <w:r>
        <w:t>. Ces trois coefficients d’influence sont exprimés sous forme de vecteur et peuvent être représentés par le nombre complexe. Quantité des coefficients signifie une sensibilité qui contribue au déclenchement de l’instabilité vibratoire causée par l’effet Morton. Phase des coefficients décrit un déphasage entre deux vecteurs qui sont utilisés pour décrire les informations physiques concernés. Le détail de ces trois coefficients d’influence est présenté dans la partie suivante.</w:t>
      </w:r>
    </w:p>
    <w:p w14:paraId="4D75CBC9" w14:textId="77777777" w:rsidR="00574681" w:rsidRDefault="00574681" w:rsidP="00574681">
      <w:pPr>
        <w:pStyle w:val="Paragraphedeliste"/>
        <w:widowControl w:val="0"/>
        <w:numPr>
          <w:ilvl w:val="0"/>
          <w:numId w:val="5"/>
        </w:numPr>
        <w:overflowPunct/>
        <w:autoSpaceDE/>
        <w:autoSpaceDN/>
        <w:adjustRightInd/>
        <w:contextualSpacing w:val="0"/>
        <w:jc w:val="both"/>
        <w:textAlignment w:val="auto"/>
      </w:pPr>
      <w:r>
        <w:t>C</w:t>
      </w:r>
      <w:r>
        <w:rPr>
          <w:rFonts w:hint="eastAsia"/>
        </w:rPr>
        <w:t>oeff</w:t>
      </w:r>
      <w:r>
        <w:t xml:space="preserve">icient d’influence </w:t>
      </w:r>
      <m:oMath>
        <m:acc>
          <m:accPr>
            <m:chr m:val="⃗"/>
            <m:ctrlPr>
              <w:rPr>
                <w:rFonts w:ascii="Cambria Math" w:hAnsi="Cambria Math"/>
                <w:i/>
              </w:rPr>
            </m:ctrlPr>
          </m:accPr>
          <m:e>
            <m:r>
              <w:rPr>
                <w:rFonts w:ascii="Cambria Math" w:hAnsi="Cambria Math"/>
              </w:rPr>
              <m:t>A</m:t>
            </m:r>
          </m:e>
        </m:acc>
      </m:oMath>
    </w:p>
    <w:p w14:paraId="3B17CC04" w14:textId="6A4DF25C" w:rsidR="00574681" w:rsidRDefault="00FE1987" w:rsidP="00574681">
      <m:oMath>
        <m:acc>
          <m:accPr>
            <m:chr m:val="⃗"/>
            <m:ctrlPr>
              <w:rPr>
                <w:rFonts w:ascii="Cambria Math" w:hAnsi="Cambria Math"/>
                <w:i/>
              </w:rPr>
            </m:ctrlPr>
          </m:accPr>
          <m:e>
            <m:r>
              <w:rPr>
                <w:rFonts w:ascii="Cambria Math" w:hAnsi="Cambria Math"/>
              </w:rPr>
              <m:t>A</m:t>
            </m:r>
          </m:e>
        </m:acc>
      </m:oMath>
      <w:r w:rsidR="00574681">
        <w:t xml:space="preserve"> décrit la relation linéaire entre le vecteur de vibration </w:t>
      </w:r>
      <m:oMath>
        <m:acc>
          <m:accPr>
            <m:chr m:val="⃗"/>
            <m:ctrlPr>
              <w:rPr>
                <w:rFonts w:ascii="Cambria Math" w:hAnsi="Cambria Math"/>
                <w:i/>
              </w:rPr>
            </m:ctrlPr>
          </m:accPr>
          <m:e>
            <m:r>
              <w:rPr>
                <w:rFonts w:ascii="Cambria Math" w:hAnsi="Cambria Math"/>
              </w:rPr>
              <m:t>V</m:t>
            </m:r>
          </m:e>
        </m:acc>
      </m:oMath>
      <w:r w:rsidR="00574681">
        <w:t xml:space="preserve"> et le vecteur du balourd </w:t>
      </w:r>
      <m:oMath>
        <m:acc>
          <m:accPr>
            <m:chr m:val="⃗"/>
            <m:ctrlPr>
              <w:rPr>
                <w:rFonts w:ascii="Cambria Math" w:hAnsi="Cambria Math"/>
                <w:i/>
              </w:rPr>
            </m:ctrlPr>
          </m:accPr>
          <m:e>
            <m:r>
              <w:rPr>
                <w:rFonts w:ascii="Cambria Math" w:hAnsi="Cambria Math"/>
              </w:rPr>
              <m:t>U</m:t>
            </m:r>
          </m:e>
        </m:acc>
      </m:oMath>
      <w:r w:rsidR="00574681">
        <w:t xml:space="preserve"> (</w:t>
      </w:r>
      <w:r w:rsidR="00574681">
        <w:fldChar w:fldCharType="begin"/>
      </w:r>
      <w:r w:rsidR="00574681">
        <w:instrText xml:space="preserve"> REF _Ref478549772 \r \h </w:instrText>
      </w:r>
      <w:r w:rsidR="00574681">
        <w:fldChar w:fldCharType="separate"/>
      </w:r>
      <w:r w:rsidR="00246D55">
        <w:t>Eq.2</w:t>
      </w:r>
      <w:r w:rsidR="00574681">
        <w:fldChar w:fldCharType="end"/>
      </w:r>
      <w:r w:rsidR="00574681">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574681" w:rsidRPr="0081010A" w14:paraId="56CBF971" w14:textId="77777777" w:rsidTr="00FE1987">
        <w:trPr>
          <w:trHeight w:val="635"/>
          <w:jc w:val="center"/>
        </w:trPr>
        <w:tc>
          <w:tcPr>
            <w:tcW w:w="7943" w:type="dxa"/>
            <w:vAlign w:val="center"/>
          </w:tcPr>
          <w:p w14:paraId="1AFA81CF" w14:textId="77777777" w:rsidR="00574681" w:rsidRPr="00B56F91" w:rsidRDefault="00FE1987" w:rsidP="00FE1987">
            <w:pPr>
              <w:spacing w:before="120" w:after="120"/>
              <w:jc w:val="center"/>
              <w:rPr>
                <w:rFonts w:eastAsia="SimSun"/>
                <w:i/>
              </w:rPr>
            </w:pPr>
            <m:oMathPara>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 xml:space="preserve"> </m:t>
                </m:r>
                <m:acc>
                  <m:accPr>
                    <m:chr m:val="⃗"/>
                    <m:ctrlPr>
                      <w:rPr>
                        <w:rFonts w:ascii="Cambria Math" w:hAnsi="Cambria Math"/>
                        <w:i/>
                      </w:rPr>
                    </m:ctrlPr>
                  </m:accPr>
                  <m:e>
                    <m:r>
                      <w:rPr>
                        <w:rFonts w:ascii="Cambria Math" w:hAnsi="Cambria Math"/>
                      </w:rPr>
                      <m:t>U</m:t>
                    </m:r>
                  </m:e>
                </m:acc>
              </m:oMath>
            </m:oMathPara>
          </w:p>
        </w:tc>
        <w:tc>
          <w:tcPr>
            <w:tcW w:w="1096" w:type="dxa"/>
            <w:vAlign w:val="center"/>
          </w:tcPr>
          <w:p w14:paraId="17529933" w14:textId="77777777" w:rsidR="00574681" w:rsidRPr="0081010A" w:rsidRDefault="00574681" w:rsidP="00574681">
            <w:pPr>
              <w:pStyle w:val="Lgende"/>
              <w:keepNext/>
              <w:numPr>
                <w:ilvl w:val="0"/>
                <w:numId w:val="6"/>
              </w:numPr>
              <w:spacing w:before="120" w:after="120"/>
              <w:jc w:val="both"/>
              <w:rPr>
                <w:rFonts w:ascii="Times New Roman" w:eastAsia="Times New Roman" w:hAnsi="Times New Roman"/>
                <w:b/>
                <w:iCs w:val="0"/>
                <w:color w:val="auto"/>
                <w:sz w:val="22"/>
                <w:szCs w:val="22"/>
                <w:lang w:val="en-US" w:eastAsia="fr-FR"/>
              </w:rPr>
            </w:pPr>
            <w:bookmarkStart w:id="2" w:name="_Ref478549772"/>
            <w:bookmarkStart w:id="3" w:name="_Ref478549690"/>
            <w:r>
              <w:rPr>
                <w:rFonts w:ascii="Times New Roman" w:eastAsia="Times New Roman" w:hAnsi="Times New Roman"/>
                <w:b/>
                <w:iCs w:val="0"/>
                <w:color w:val="auto"/>
                <w:sz w:val="22"/>
                <w:szCs w:val="22"/>
                <w:lang w:val="en-US" w:eastAsia="fr-FR"/>
              </w:rPr>
              <w:t xml:space="preserve"> </w:t>
            </w:r>
            <w:bookmarkEnd w:id="2"/>
          </w:p>
        </w:tc>
        <w:bookmarkEnd w:id="3"/>
      </w:tr>
    </w:tbl>
    <w:p w14:paraId="6A2D3B91" w14:textId="77777777" w:rsidR="00574681" w:rsidRDefault="00574681" w:rsidP="00574681">
      <w:r>
        <w:t xml:space="preserve">La quantité du vecteur </w:t>
      </w:r>
      <m:oMath>
        <m:acc>
          <m:accPr>
            <m:chr m:val="⃗"/>
            <m:ctrlPr>
              <w:rPr>
                <w:rFonts w:ascii="Cambria Math" w:hAnsi="Cambria Math"/>
                <w:i/>
              </w:rPr>
            </m:ctrlPr>
          </m:accPr>
          <m:e>
            <m:r>
              <w:rPr>
                <w:rFonts w:ascii="Cambria Math" w:hAnsi="Cambria Math"/>
              </w:rPr>
              <m:t>V</m:t>
            </m:r>
          </m:e>
        </m:acc>
      </m:oMath>
      <w:r>
        <w:t xml:space="preserve"> présente le niveau de vibration crêt-à-crêt au niveau du palier et sa phase permet de positionner le point haut à la surface du rotor. Le vecteur du balourd </w:t>
      </w:r>
      <m:oMath>
        <m:acc>
          <m:accPr>
            <m:chr m:val="⃗"/>
            <m:ctrlPr>
              <w:rPr>
                <w:rFonts w:ascii="Cambria Math" w:eastAsia="Calibri" w:hAnsi="Cambria Math"/>
                <w:i/>
                <w:lang w:eastAsia="en-US"/>
              </w:rPr>
            </m:ctrlPr>
          </m:accPr>
          <m:e>
            <m:r>
              <w:rPr>
                <w:rFonts w:ascii="Cambria Math" w:hAnsi="Cambria Math"/>
              </w:rPr>
              <m:t>U</m:t>
            </m:r>
          </m:e>
        </m:acc>
      </m:oMath>
      <w:r>
        <w:rPr>
          <w:lang w:eastAsia="en-US"/>
        </w:rPr>
        <w:t xml:space="preserve"> </w:t>
      </w:r>
      <w:r>
        <w:t xml:space="preserve">permet de connaitre la quantité du balourd et l’endroit du balourd (le point lourd) dans la direction circonférentielle de rotor. La quantité du vecteur </w:t>
      </w:r>
      <m:oMath>
        <m:acc>
          <m:accPr>
            <m:chr m:val="⃗"/>
            <m:ctrlPr>
              <w:rPr>
                <w:rFonts w:ascii="Cambria Math" w:hAnsi="Cambria Math"/>
                <w:i/>
              </w:rPr>
            </m:ctrlPr>
          </m:accPr>
          <m:e>
            <m:r>
              <w:rPr>
                <w:rFonts w:ascii="Cambria Math" w:hAnsi="Cambria Math"/>
              </w:rPr>
              <m:t>A</m:t>
            </m:r>
          </m:e>
        </m:acc>
      </m:oMath>
      <w:r>
        <w:t xml:space="preserve"> montre une sensibilité du niveau de vibration par rapport au balourd présent sur le rotor. Sa phase définit le déphasage entre le point lourd et le point haut à la surface de rotor. La phase des vecteurs peut être déterminée en se référant à une position fixe marquée à la surface d’un rotor</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V</m:t>
            </m:r>
          </m:e>
        </m:acc>
      </m:oMath>
      <w:r>
        <w:t>.</w:t>
      </w:r>
    </w:p>
    <w:p w14:paraId="64530982" w14:textId="77777777" w:rsidR="00574681" w:rsidRDefault="00574681" w:rsidP="00574681">
      <w:pPr>
        <w:pStyle w:val="Paragraphedeliste"/>
        <w:widowControl w:val="0"/>
        <w:numPr>
          <w:ilvl w:val="0"/>
          <w:numId w:val="5"/>
        </w:numPr>
        <w:overflowPunct/>
        <w:autoSpaceDE/>
        <w:autoSpaceDN/>
        <w:adjustRightInd/>
        <w:contextualSpacing w:val="0"/>
        <w:jc w:val="both"/>
        <w:textAlignment w:val="auto"/>
      </w:pPr>
      <w:r>
        <w:t xml:space="preserve">Coefficient d’influence </w:t>
      </w:r>
      <m:oMath>
        <m:acc>
          <m:accPr>
            <m:chr m:val="⃗"/>
            <m:ctrlPr>
              <w:rPr>
                <w:rFonts w:ascii="Cambria Math" w:hAnsi="Cambria Math"/>
                <w:i/>
              </w:rPr>
            </m:ctrlPr>
          </m:accPr>
          <m:e>
            <m:r>
              <w:rPr>
                <w:rFonts w:ascii="Cambria Math" w:hAnsi="Cambria Math"/>
              </w:rPr>
              <m:t>B</m:t>
            </m:r>
          </m:e>
        </m:acc>
      </m:oMath>
    </w:p>
    <w:p w14:paraId="60A0A647" w14:textId="77777777" w:rsidR="00574681" w:rsidRDefault="00FE1987" w:rsidP="00574681">
      <m:oMath>
        <m:acc>
          <m:accPr>
            <m:chr m:val="⃗"/>
            <m:ctrlPr>
              <w:rPr>
                <w:rFonts w:ascii="Cambria Math" w:hAnsi="Cambria Math"/>
                <w:i/>
              </w:rPr>
            </m:ctrlPr>
          </m:accPr>
          <m:e>
            <m:r>
              <w:rPr>
                <w:rFonts w:ascii="Cambria Math" w:hAnsi="Cambria Math"/>
              </w:rPr>
              <m:t>B</m:t>
            </m:r>
          </m:e>
        </m:acc>
      </m:oMath>
      <w:r w:rsidR="00574681">
        <w:t xml:space="preserve"> est un coefficient important pour détecter l’existence de l’instabilité provoquée par l’effet Morton. Il caractérise la sensibilité de la différence de la température à la surface de rotor </w:t>
      </w:r>
      <m:oMath>
        <m:acc>
          <m:accPr>
            <m:chr m:val="⃗"/>
            <m:ctrlPr>
              <w:rPr>
                <w:rFonts w:ascii="Cambria Math" w:hAnsi="Cambria Math"/>
                <w:i/>
              </w:rPr>
            </m:ctrlPr>
          </m:accPr>
          <m:e>
            <m:r>
              <w:rPr>
                <w:rFonts w:ascii="Cambria Math" w:hAnsi="Cambria Math"/>
              </w:rPr>
              <m:t>T</m:t>
            </m:r>
          </m:e>
        </m:acc>
      </m:oMath>
      <w:r w:rsidR="00574681">
        <w:t xml:space="preserve"> par rapport à la vibration</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V</m:t>
            </m:r>
          </m:e>
        </m:acc>
      </m:oMath>
      <w:r w:rsidR="00574681">
        <w:t xml:space="preserve">. En régime stationnaire, il est assumé que cette différence de température varie linéairement en fonction de l’amplitude de vibration synchrone.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574681" w:rsidRPr="0081010A" w14:paraId="134796FC" w14:textId="77777777" w:rsidTr="00FE1987">
        <w:trPr>
          <w:trHeight w:val="635"/>
          <w:jc w:val="center"/>
        </w:trPr>
        <w:tc>
          <w:tcPr>
            <w:tcW w:w="7943" w:type="dxa"/>
            <w:vAlign w:val="center"/>
          </w:tcPr>
          <w:p w14:paraId="0E17DAC5" w14:textId="77777777" w:rsidR="00574681" w:rsidRPr="007C7D68" w:rsidRDefault="00FE1987" w:rsidP="00FE1987">
            <w:pPr>
              <w:spacing w:before="120" w:after="120"/>
              <w:jc w:val="center"/>
              <w:rPr>
                <w:rFonts w:eastAsia="SimSun"/>
                <w:i/>
              </w:rPr>
            </w:pPr>
            <m:oMathPara>
              <m:oMath>
                <m:acc>
                  <m:accPr>
                    <m:chr m:val="⃗"/>
                    <m:ctrlPr>
                      <w:rPr>
                        <w:rFonts w:ascii="Cambria Math" w:hAnsi="Cambria Math"/>
                        <w:i/>
                      </w:rPr>
                    </m:ctrlPr>
                  </m:accPr>
                  <m:e>
                    <m:r>
                      <w:rPr>
                        <w:rFonts w:ascii="Cambria Math" w:hAnsi="Cambria Math"/>
                      </w:rPr>
                      <m:t>T</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 xml:space="preserve"> </m:t>
                </m:r>
                <m:acc>
                  <m:accPr>
                    <m:chr m:val="⃗"/>
                    <m:ctrlPr>
                      <w:rPr>
                        <w:rFonts w:ascii="Cambria Math" w:hAnsi="Cambria Math"/>
                        <w:i/>
                      </w:rPr>
                    </m:ctrlPr>
                  </m:accPr>
                  <m:e>
                    <m:r>
                      <w:rPr>
                        <w:rFonts w:ascii="Cambria Math" w:hAnsi="Cambria Math"/>
                      </w:rPr>
                      <m:t>V</m:t>
                    </m:r>
                  </m:e>
                </m:acc>
              </m:oMath>
            </m:oMathPara>
          </w:p>
        </w:tc>
        <w:tc>
          <w:tcPr>
            <w:tcW w:w="1096" w:type="dxa"/>
            <w:vAlign w:val="center"/>
          </w:tcPr>
          <w:p w14:paraId="44307D66" w14:textId="77777777" w:rsidR="00574681" w:rsidRPr="0081010A" w:rsidRDefault="00574681" w:rsidP="00574681">
            <w:pPr>
              <w:pStyle w:val="Lgende"/>
              <w:keepNext/>
              <w:numPr>
                <w:ilvl w:val="0"/>
                <w:numId w:val="6"/>
              </w:numPr>
              <w:spacing w:before="120" w:after="120"/>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3C780EB9" w14:textId="2CC74464" w:rsidR="00574681" w:rsidRDefault="00574681" w:rsidP="00574681">
      <w:r>
        <w:t xml:space="preserve">La phase du vecteur </w:t>
      </w:r>
      <m:oMath>
        <m:acc>
          <m:accPr>
            <m:chr m:val="⃗"/>
            <m:ctrlPr>
              <w:rPr>
                <w:rFonts w:ascii="Cambria Math" w:hAnsi="Cambria Math"/>
                <w:i/>
              </w:rPr>
            </m:ctrlPr>
          </m:accPr>
          <m:e>
            <m:r>
              <w:rPr>
                <w:rFonts w:ascii="Cambria Math" w:hAnsi="Cambria Math"/>
              </w:rPr>
              <m:t>T</m:t>
            </m:r>
          </m:e>
        </m:acc>
      </m:oMath>
      <w:r>
        <w:t xml:space="preserve"> donne la position du point chaud dans la direction circonférentielle du rotor. La phase donnée par le coefficient </w:t>
      </w:r>
      <m:oMath>
        <m:acc>
          <m:accPr>
            <m:chr m:val="⃗"/>
            <m:ctrlPr>
              <w:rPr>
                <w:rFonts w:ascii="Cambria Math" w:hAnsi="Cambria Math"/>
                <w:i/>
              </w:rPr>
            </m:ctrlPr>
          </m:accPr>
          <m:e>
            <m:r>
              <w:rPr>
                <w:rFonts w:ascii="Cambria Math" w:hAnsi="Cambria Math"/>
              </w:rPr>
              <m:t>B</m:t>
            </m:r>
          </m:e>
        </m:acc>
      </m:oMath>
      <w:r>
        <w:t xml:space="preserve"> montre le déphasage entre le point haut et le point chaud. Cette phase ne peut pas être déterminée par la méthode proposée ici, car l’approche n’a pas pris en compte l’effet en régime transitoire et ce déphasage dépende fortement la réponse thermique en transitoire. Ainsi, une valeur approximative et </w:t>
      </w:r>
      <w:r w:rsidR="00851F03">
        <w:t>empirique de</w:t>
      </w:r>
      <w:r>
        <w:t xml:space="preserve"> 30 dégrée (retard du point chaud par rapport à point haut) est proposée par les auteurs.</w:t>
      </w:r>
    </w:p>
    <w:p w14:paraId="64D9AC7E" w14:textId="2EA69C23" w:rsidR="00574681" w:rsidRDefault="00574681" w:rsidP="00574681">
      <w:r>
        <w:t xml:space="preserve">En fait, selon </w:t>
      </w:r>
      <w:r w:rsidR="00851F03">
        <w:t>les données mesurées</w:t>
      </w:r>
      <w:r>
        <w:t xml:space="preserve"> publiée dans la littérature, cette valeur est </w:t>
      </w:r>
      <w:r w:rsidR="00851F03">
        <w:t>reconnue d’être</w:t>
      </w:r>
      <w:r>
        <w:t xml:space="preserve"> compris entre 0 à 60 dégrée (retard du point chaud) et </w:t>
      </w:r>
      <w:r w:rsidR="00851F03">
        <w:t>la valeur médiane</w:t>
      </w:r>
      <w:r>
        <w:t xml:space="preserve"> est utilisé pour approximer la valeur réelle.</w:t>
      </w:r>
    </w:p>
    <w:p w14:paraId="0DBB3D16" w14:textId="77777777" w:rsidR="00574681" w:rsidRDefault="00574681" w:rsidP="00574681">
      <w:pPr>
        <w:pStyle w:val="Paragraphedeliste"/>
        <w:widowControl w:val="0"/>
        <w:numPr>
          <w:ilvl w:val="0"/>
          <w:numId w:val="5"/>
        </w:numPr>
        <w:overflowPunct/>
        <w:autoSpaceDE/>
        <w:autoSpaceDN/>
        <w:adjustRightInd/>
        <w:contextualSpacing w:val="0"/>
        <w:jc w:val="both"/>
        <w:textAlignment w:val="auto"/>
      </w:pPr>
      <w:r w:rsidRPr="7DF59C87">
        <w:t xml:space="preserve">Coefficient d’influence </w:t>
      </w:r>
      <m:oMath>
        <m:acc>
          <m:accPr>
            <m:chr m:val="⃗"/>
            <m:ctrlPr>
              <w:rPr>
                <w:rFonts w:ascii="Cambria Math" w:hAnsi="Cambria Math"/>
                <w:i/>
              </w:rPr>
            </m:ctrlPr>
          </m:accPr>
          <m:e>
            <m:r>
              <w:rPr>
                <w:rFonts w:ascii="Cambria Math" w:hAnsi="Cambria Math"/>
              </w:rPr>
              <m:t>C</m:t>
            </m:r>
          </m:e>
        </m:acc>
      </m:oMath>
    </w:p>
    <w:p w14:paraId="63232A44" w14:textId="77777777" w:rsidR="00574681" w:rsidRDefault="00FE1987" w:rsidP="00574681">
      <w:pPr>
        <w:rPr>
          <w:lang w:eastAsia="en-US"/>
        </w:rPr>
      </w:pPr>
      <m:oMath>
        <m:acc>
          <m:accPr>
            <m:chr m:val="⃗"/>
            <m:ctrlPr>
              <w:rPr>
                <w:rFonts w:ascii="Cambria Math" w:hAnsi="Cambria Math"/>
                <w:i/>
              </w:rPr>
            </m:ctrlPr>
          </m:accPr>
          <m:e>
            <m:r>
              <w:rPr>
                <w:rFonts w:ascii="Cambria Math" w:hAnsi="Cambria Math"/>
              </w:rPr>
              <m:t>C</m:t>
            </m:r>
          </m:e>
        </m:acc>
      </m:oMath>
      <w:r w:rsidR="00574681">
        <w:t xml:space="preserve"> permet d’exprimer la sensibilité du balourd thermique</w:t>
      </w:r>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th</m:t>
                </m:r>
              </m:sub>
            </m:sSub>
          </m:e>
        </m:acc>
        <m:r>
          <w:rPr>
            <w:rFonts w:ascii="Cambria Math" w:hAnsi="Cambria Math"/>
          </w:rPr>
          <m:t xml:space="preserve"> </m:t>
        </m:r>
      </m:oMath>
      <w:r w:rsidR="00574681">
        <w:t>généré par la déformation thermique de rotor par rapport à la différence de la température de rotor</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T</m:t>
            </m:r>
          </m:e>
        </m:acc>
      </m:oMath>
      <w:r w:rsidR="00574681">
        <w:rPr>
          <w:lang w:eastAsia="en-US"/>
        </w:rP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574681" w:rsidRPr="0081010A" w14:paraId="078A4AD0" w14:textId="77777777" w:rsidTr="00FE1987">
        <w:trPr>
          <w:trHeight w:val="635"/>
          <w:jc w:val="center"/>
        </w:trPr>
        <w:tc>
          <w:tcPr>
            <w:tcW w:w="7943" w:type="dxa"/>
            <w:vAlign w:val="center"/>
          </w:tcPr>
          <w:p w14:paraId="57195229" w14:textId="77777777" w:rsidR="00574681" w:rsidRPr="007C7D68" w:rsidRDefault="00FE1987" w:rsidP="00FE1987">
            <w:pPr>
              <w:spacing w:before="120" w:after="120"/>
              <w:jc w:val="center"/>
              <w:rPr>
                <w:rFonts w:eastAsia="SimSun"/>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th</m:t>
                        </m:r>
                      </m:sub>
                    </m:sSub>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 xml:space="preserve"> </m:t>
                </m:r>
                <m:acc>
                  <m:accPr>
                    <m:chr m:val="⃗"/>
                    <m:ctrlPr>
                      <w:rPr>
                        <w:rFonts w:ascii="Cambria Math" w:hAnsi="Cambria Math"/>
                        <w:i/>
                      </w:rPr>
                    </m:ctrlPr>
                  </m:accPr>
                  <m:e>
                    <m:r>
                      <w:rPr>
                        <w:rFonts w:ascii="Cambria Math" w:hAnsi="Cambria Math"/>
                      </w:rPr>
                      <m:t>T</m:t>
                    </m:r>
                  </m:e>
                </m:acc>
              </m:oMath>
            </m:oMathPara>
          </w:p>
        </w:tc>
        <w:tc>
          <w:tcPr>
            <w:tcW w:w="1096" w:type="dxa"/>
            <w:vAlign w:val="center"/>
          </w:tcPr>
          <w:p w14:paraId="0171D879" w14:textId="77777777" w:rsidR="00574681" w:rsidRPr="0081010A" w:rsidRDefault="00574681" w:rsidP="00574681">
            <w:pPr>
              <w:pStyle w:val="Lgende"/>
              <w:keepNext/>
              <w:numPr>
                <w:ilvl w:val="0"/>
                <w:numId w:val="6"/>
              </w:numPr>
              <w:spacing w:before="120" w:after="120"/>
              <w:jc w:val="both"/>
              <w:rPr>
                <w:rFonts w:ascii="Times New Roman" w:eastAsia="Times New Roman" w:hAnsi="Times New Roman"/>
                <w:b/>
                <w:iCs w:val="0"/>
                <w:color w:val="auto"/>
                <w:sz w:val="22"/>
                <w:szCs w:val="22"/>
                <w:lang w:val="en-US" w:eastAsia="fr-FR"/>
              </w:rPr>
            </w:pPr>
            <w:bookmarkStart w:id="4" w:name="_Ref518574219"/>
            <w:r>
              <w:rPr>
                <w:rFonts w:ascii="Times New Roman" w:eastAsia="Times New Roman" w:hAnsi="Times New Roman"/>
                <w:b/>
                <w:iCs w:val="0"/>
                <w:color w:val="auto"/>
                <w:sz w:val="22"/>
                <w:szCs w:val="22"/>
                <w:lang w:val="en-US" w:eastAsia="fr-FR"/>
              </w:rPr>
              <w:t xml:space="preserve"> </w:t>
            </w:r>
            <w:bookmarkEnd w:id="4"/>
          </w:p>
        </w:tc>
      </w:tr>
    </w:tbl>
    <w:p w14:paraId="5F64D186" w14:textId="77777777" w:rsidR="00574681" w:rsidRDefault="00574681" w:rsidP="00574681">
      <w:r>
        <w:t xml:space="preserve">Le balourd thermique va être combiné avec le balourd mécanique </w:t>
      </w:r>
      <m:oMath>
        <m:acc>
          <m:accPr>
            <m:chr m:val="⃗"/>
            <m:ctrlPr>
              <w:rPr>
                <w:rFonts w:ascii="Cambria Math" w:eastAsia="Calibri" w:hAnsi="Cambria Math"/>
                <w:i/>
                <w:lang w:eastAsia="en-US"/>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oMath>
      <w:r>
        <w:t xml:space="preserve"> pour donner le balourd total qui contribue à la vibration synchrone.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574681" w:rsidRPr="0081010A" w14:paraId="71FECBAF" w14:textId="77777777" w:rsidTr="00FE1987">
        <w:trPr>
          <w:trHeight w:val="635"/>
          <w:jc w:val="center"/>
        </w:trPr>
        <w:tc>
          <w:tcPr>
            <w:tcW w:w="7943" w:type="dxa"/>
            <w:vAlign w:val="center"/>
          </w:tcPr>
          <w:p w14:paraId="39C6DD5B" w14:textId="77777777" w:rsidR="00574681" w:rsidRPr="007C7D68" w:rsidRDefault="00FE1987" w:rsidP="00FE1987">
            <w:pPr>
              <w:spacing w:before="120" w:after="120"/>
              <w:jc w:val="center"/>
              <w:rPr>
                <w:rFonts w:eastAsia="SimSun"/>
                <w:i/>
              </w:rPr>
            </w:pPr>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th</m:t>
                      </m:r>
                    </m:sub>
                  </m:sSub>
                </m:e>
              </m:acc>
            </m:oMath>
            <w:r w:rsidR="00574681">
              <w:rPr>
                <w:rFonts w:eastAsia="SimSun"/>
                <w:i/>
              </w:rPr>
              <w:t xml:space="preserve"> </w:t>
            </w:r>
          </w:p>
        </w:tc>
        <w:tc>
          <w:tcPr>
            <w:tcW w:w="1096" w:type="dxa"/>
            <w:vAlign w:val="center"/>
          </w:tcPr>
          <w:p w14:paraId="1D26BBC9" w14:textId="77777777" w:rsidR="00574681" w:rsidRPr="0081010A" w:rsidRDefault="00574681" w:rsidP="00574681">
            <w:pPr>
              <w:pStyle w:val="Lgende"/>
              <w:keepNext/>
              <w:numPr>
                <w:ilvl w:val="0"/>
                <w:numId w:val="6"/>
              </w:numPr>
              <w:spacing w:before="120" w:after="120"/>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56D8E538" w14:textId="3ABC147E" w:rsidR="00574681" w:rsidRPr="0020525C" w:rsidRDefault="00574681" w:rsidP="00574681">
      <w:pPr>
        <w:rPr>
          <w:lang w:eastAsia="en-US"/>
        </w:rPr>
      </w:pPr>
      <w:r>
        <w:t xml:space="preserve">Contrairement aux deux autres coefficients, </w:t>
      </w:r>
      <m:oMath>
        <m:acc>
          <m:accPr>
            <m:chr m:val="⃗"/>
            <m:ctrlPr>
              <w:rPr>
                <w:rFonts w:ascii="Cambria Math" w:hAnsi="Cambria Math"/>
                <w:i/>
              </w:rPr>
            </m:ctrlPr>
          </m:accPr>
          <m:e>
            <m:r>
              <w:rPr>
                <w:rFonts w:ascii="Cambria Math" w:hAnsi="Cambria Math"/>
              </w:rPr>
              <m:t>C</m:t>
            </m:r>
          </m:e>
        </m:acc>
        <m:r>
          <w:rPr>
            <w:rFonts w:ascii="Cambria Math" w:hAnsi="Cambria Math"/>
          </w:rPr>
          <m:t xml:space="preserve"> </m:t>
        </m:r>
      </m:oMath>
      <w:r>
        <w:t>est indépendant de la vibration ainsi que de la vitesse de rotation. Pour déterminer</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C</m:t>
            </m:r>
          </m:e>
        </m:acc>
      </m:oMath>
      <w:r>
        <w:rPr>
          <w:lang w:eastAsia="en-US"/>
        </w:rPr>
        <w:t>, il suffit de connaitre la configuration géométrique</w:t>
      </w:r>
      <w:r w:rsidRPr="008D6DC9">
        <w:rPr>
          <w:lang w:eastAsia="en-US"/>
        </w:rPr>
        <w:t xml:space="preserve"> </w:t>
      </w:r>
      <w:r>
        <w:rPr>
          <w:lang w:eastAsia="en-US"/>
        </w:rPr>
        <w:t xml:space="preserve">du banc et les caractéristiques </w:t>
      </w:r>
      <w:r w:rsidR="00CF7981">
        <w:rPr>
          <w:lang w:eastAsia="en-US"/>
        </w:rPr>
        <w:t xml:space="preserve">du matériau de rotor. D’après </w:t>
      </w:r>
      <w:r w:rsidR="00CF7981">
        <w:rPr>
          <w:lang w:eastAsia="en-US"/>
        </w:rPr>
        <w:fldChar w:fldCharType="begin"/>
      </w:r>
      <w:r w:rsidR="00CF7981">
        <w:rPr>
          <w:lang w:eastAsia="en-US"/>
        </w:rPr>
        <w:instrText xml:space="preserve"> REF _Ref523086107 \r \h </w:instrText>
      </w:r>
      <w:r w:rsidR="00CF7981">
        <w:rPr>
          <w:lang w:eastAsia="en-US"/>
        </w:rPr>
      </w:r>
      <w:r w:rsidR="00CF7981">
        <w:rPr>
          <w:lang w:eastAsia="en-US"/>
        </w:rPr>
        <w:fldChar w:fldCharType="separate"/>
      </w:r>
      <w:r w:rsidR="00246D55">
        <w:rPr>
          <w:lang w:eastAsia="en-US"/>
        </w:rPr>
        <w:t>[6]</w:t>
      </w:r>
      <w:r w:rsidR="00CF7981">
        <w:rPr>
          <w:lang w:eastAsia="en-US"/>
        </w:rPr>
        <w:fldChar w:fldCharType="end"/>
      </w:r>
      <w:r>
        <w:rPr>
          <w:lang w:eastAsia="en-US"/>
        </w:rPr>
        <w:t xml:space="preserve"> et </w:t>
      </w:r>
      <w:r>
        <w:rPr>
          <w:lang w:eastAsia="en-US"/>
        </w:rPr>
        <w:fldChar w:fldCharType="begin"/>
      </w:r>
      <w:r>
        <w:rPr>
          <w:lang w:eastAsia="en-US"/>
        </w:rPr>
        <w:instrText xml:space="preserve"> REF _Ref518574219 \r \h </w:instrText>
      </w:r>
      <w:r>
        <w:rPr>
          <w:lang w:eastAsia="en-US"/>
        </w:rPr>
      </w:r>
      <w:r>
        <w:rPr>
          <w:lang w:eastAsia="en-US"/>
        </w:rPr>
        <w:fldChar w:fldCharType="separate"/>
      </w:r>
      <w:r w:rsidR="00246D55">
        <w:rPr>
          <w:lang w:eastAsia="en-US"/>
        </w:rPr>
        <w:t>Eq.4</w:t>
      </w:r>
      <w:r>
        <w:rPr>
          <w:lang w:eastAsia="en-US"/>
        </w:rPr>
        <w:fldChar w:fldCharType="end"/>
      </w:r>
      <w:r>
        <w:rPr>
          <w:lang w:eastAsia="en-US"/>
        </w:rPr>
        <w:t xml:space="preserve">, l’expression du vecteur </w:t>
      </w:r>
      <m:oMath>
        <m:acc>
          <m:accPr>
            <m:chr m:val="⃗"/>
            <m:ctrlPr>
              <w:rPr>
                <w:rFonts w:ascii="Cambria Math" w:hAnsi="Cambria Math"/>
                <w:i/>
              </w:rPr>
            </m:ctrlPr>
          </m:accPr>
          <m:e>
            <m:r>
              <w:rPr>
                <w:rFonts w:ascii="Cambria Math" w:hAnsi="Cambria Math"/>
              </w:rPr>
              <m:t>C</m:t>
            </m:r>
          </m:e>
        </m:acc>
      </m:oMath>
      <w:r>
        <w:t xml:space="preserve"> est déduite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5"/>
        <w:gridCol w:w="1091"/>
      </w:tblGrid>
      <w:tr w:rsidR="00574681" w:rsidRPr="008C024E" w14:paraId="3C8C8743" w14:textId="77777777" w:rsidTr="00FE1987">
        <w:trPr>
          <w:trHeight w:val="635"/>
          <w:jc w:val="center"/>
        </w:trPr>
        <w:tc>
          <w:tcPr>
            <w:tcW w:w="7215" w:type="dxa"/>
            <w:vAlign w:val="center"/>
          </w:tcPr>
          <w:p w14:paraId="59DE7DDE" w14:textId="77777777" w:rsidR="00574681" w:rsidRPr="00250BB3" w:rsidRDefault="00FE1987" w:rsidP="00FE1987">
            <w:pPr>
              <w:spacing w:before="120" w:after="120"/>
              <w:jc w:val="center"/>
              <w:rPr>
                <w:rFonts w:eastAsia="SimSun"/>
                <w:i/>
                <w:kern w:val="2"/>
                <w:sz w:val="21"/>
                <w:lang w:eastAsia="zh-CN"/>
              </w:rPr>
            </w:pPr>
            <m:oMathPara>
              <m:oMath>
                <m:acc>
                  <m:accPr>
                    <m:chr m:val="⃗"/>
                    <m:ctrlPr>
                      <w:rPr>
                        <w:rFonts w:ascii="Cambria Math" w:eastAsiaTheme="minorEastAsia" w:hAnsi="Cambria Math" w:cstheme="minorBidi"/>
                        <w:i/>
                        <w:kern w:val="2"/>
                        <w:sz w:val="21"/>
                        <w:lang w:eastAsia="zh-CN"/>
                      </w:rPr>
                    </m:ctrlPr>
                  </m:accPr>
                  <m:e>
                    <m:r>
                      <w:rPr>
                        <w:rFonts w:ascii="Cambria Math" w:hAnsi="Cambria Math"/>
                      </w:rPr>
                      <m:t>C</m:t>
                    </m:r>
                  </m:e>
                </m:acc>
                <m:r>
                  <w:rPr>
                    <w:rFonts w:ascii="Cambria Math" w:eastAsia="SimSun" w:hAnsi="Cambria Math"/>
                    <w:kern w:val="2"/>
                    <w:sz w:val="21"/>
                    <w:lang w:eastAsia="zh-CN"/>
                  </w:rPr>
                  <m:t>=M</m:t>
                </m:r>
                <m:f>
                  <m:fPr>
                    <m:ctrlPr>
                      <w:rPr>
                        <w:rFonts w:ascii="Cambria Math" w:eastAsia="SimSun" w:hAnsi="Cambria Math"/>
                        <w:i/>
                        <w:kern w:val="2"/>
                        <w:sz w:val="21"/>
                        <w:lang w:eastAsia="zh-CN"/>
                      </w:rPr>
                    </m:ctrlPr>
                  </m:fPr>
                  <m:num>
                    <m:r>
                      <w:rPr>
                        <w:rFonts w:ascii="Cambria Math" w:eastAsia="SimSun" w:hAnsi="Cambria Math"/>
                        <w:kern w:val="2"/>
                        <w:sz w:val="21"/>
                        <w:lang w:eastAsia="zh-CN"/>
                      </w:rPr>
                      <m:t>αL</m:t>
                    </m:r>
                    <m:sSub>
                      <m:sSubPr>
                        <m:ctrlPr>
                          <w:rPr>
                            <w:rFonts w:ascii="Cambria Math" w:eastAsia="SimSun" w:hAnsi="Cambria Math"/>
                            <w:i/>
                          </w:rPr>
                        </m:ctrlPr>
                      </m:sSubPr>
                      <m:e>
                        <m:r>
                          <w:rPr>
                            <w:rFonts w:ascii="Cambria Math" w:eastAsia="SimSun" w:hAnsi="Cambria Math"/>
                            <w:kern w:val="2"/>
                            <w:sz w:val="21"/>
                            <w:lang w:eastAsia="zh-CN"/>
                          </w:rPr>
                          <m:t>L</m:t>
                        </m:r>
                      </m:e>
                      <m:sub>
                        <m:r>
                          <w:rPr>
                            <w:rFonts w:ascii="Cambria Math" w:eastAsia="SimSun" w:hAnsi="Cambria Math"/>
                            <w:kern w:val="2"/>
                            <w:sz w:val="21"/>
                            <w:lang w:eastAsia="zh-CN"/>
                          </w:rPr>
                          <m:t>w</m:t>
                        </m:r>
                      </m:sub>
                    </m:sSub>
                  </m:num>
                  <m:den>
                    <m:r>
                      <w:rPr>
                        <w:rFonts w:ascii="Cambria Math" w:eastAsia="SimSun" w:hAnsi="Cambria Math"/>
                        <w:kern w:val="2"/>
                        <w:sz w:val="21"/>
                        <w:lang w:eastAsia="zh-CN"/>
                      </w:rPr>
                      <m:t>R</m:t>
                    </m:r>
                  </m:den>
                </m:f>
                <m:sSup>
                  <m:sSupPr>
                    <m:ctrlPr>
                      <w:rPr>
                        <w:rFonts w:ascii="Cambria Math" w:eastAsia="SimSun" w:hAnsi="Cambria Math"/>
                        <w:i/>
                        <w:kern w:val="2"/>
                        <w:sz w:val="21"/>
                        <w:lang w:eastAsia="zh-CN"/>
                      </w:rPr>
                    </m:ctrlPr>
                  </m:sSupPr>
                  <m:e>
                    <m:r>
                      <w:rPr>
                        <w:rFonts w:ascii="Cambria Math" w:eastAsia="SimSun" w:hAnsi="Cambria Math"/>
                        <w:kern w:val="2"/>
                        <w:sz w:val="21"/>
                        <w:lang w:eastAsia="zh-CN"/>
                      </w:rPr>
                      <m:t>e</m:t>
                    </m:r>
                  </m:e>
                  <m:sup>
                    <m:r>
                      <w:rPr>
                        <w:rFonts w:ascii="Cambria Math" w:eastAsia="SimSun" w:hAnsi="Cambria Math"/>
                        <w:kern w:val="2"/>
                        <w:sz w:val="21"/>
                        <w:lang w:eastAsia="zh-CN"/>
                      </w:rPr>
                      <m:t>pha(</m:t>
                    </m:r>
                    <m:acc>
                      <m:accPr>
                        <m:chr m:val="⃗"/>
                        <m:ctrlPr>
                          <w:rPr>
                            <w:rFonts w:ascii="Cambria Math" w:eastAsia="SimSun" w:hAnsi="Cambria Math"/>
                            <w:i/>
                            <w:kern w:val="2"/>
                            <w:sz w:val="21"/>
                            <w:lang w:eastAsia="zh-CN"/>
                          </w:rPr>
                        </m:ctrlPr>
                      </m:accPr>
                      <m:e>
                        <m:r>
                          <w:rPr>
                            <w:rFonts w:ascii="Cambria Math" w:eastAsia="SimSun" w:hAnsi="Cambria Math"/>
                            <w:kern w:val="2"/>
                            <w:sz w:val="21"/>
                            <w:lang w:eastAsia="zh-CN"/>
                          </w:rPr>
                          <m:t>C</m:t>
                        </m:r>
                      </m:e>
                    </m:acc>
                    <m:r>
                      <w:rPr>
                        <w:rFonts w:ascii="Cambria Math" w:eastAsia="SimSun" w:hAnsi="Cambria Math"/>
                        <w:kern w:val="2"/>
                        <w:sz w:val="21"/>
                        <w:lang w:eastAsia="zh-CN"/>
                      </w:rPr>
                      <m:t>)j</m:t>
                    </m:r>
                  </m:sup>
                </m:sSup>
              </m:oMath>
            </m:oMathPara>
          </w:p>
          <w:p w14:paraId="478F9666" w14:textId="77777777" w:rsidR="00574681" w:rsidRPr="007C7D68" w:rsidRDefault="00574681" w:rsidP="00FE1987">
            <w:pPr>
              <w:spacing w:before="120" w:after="120"/>
              <w:jc w:val="left"/>
              <w:rPr>
                <w:rFonts w:eastAsia="SimSun"/>
                <w:i/>
              </w:rPr>
            </w:pPr>
            <m:oMath>
              <m:r>
                <w:rPr>
                  <w:rFonts w:ascii="Cambria Math" w:eastAsia="SimSun" w:hAnsi="Cambria Math"/>
                </w:rPr>
                <m:t>M</m:t>
              </m:r>
            </m:oMath>
            <w:r w:rsidRPr="00250BB3">
              <w:rPr>
                <w:rFonts w:eastAsia="SimSun"/>
                <w:i/>
              </w:rPr>
              <w:t>:</w:t>
            </w:r>
            <w:r>
              <w:rPr>
                <w:rFonts w:eastAsia="SimSun"/>
                <w:i/>
              </w:rPr>
              <w:t xml:space="preserve"> </w:t>
            </w:r>
            <w:r w:rsidRPr="00250BB3">
              <w:rPr>
                <w:rFonts w:eastAsia="SimSun"/>
                <w:i/>
              </w:rPr>
              <w:t>masse du disque au porte-à-faux</w:t>
            </w:r>
            <w:r>
              <w:rPr>
                <w:rFonts w:eastAsia="SimSun"/>
                <w:i/>
              </w:rPr>
              <w:t xml:space="preserve"> en [g]</w:t>
            </w:r>
            <w:r>
              <w:rPr>
                <w:rFonts w:eastAsia="SimSun"/>
                <w:i/>
              </w:rPr>
              <w:br/>
            </w:r>
            <m:oMath>
              <m:r>
                <w:rPr>
                  <w:rFonts w:ascii="Cambria Math" w:eastAsia="SimSun" w:hAnsi="Cambria Math"/>
                </w:rPr>
                <m:t>α </m:t>
              </m:r>
            </m:oMath>
            <w:r>
              <w:rPr>
                <w:rFonts w:eastAsia="SimSun"/>
                <w:i/>
              </w:rPr>
              <w:t>: coefficient de dilatation thermique</w:t>
            </w:r>
            <w:r>
              <w:rPr>
                <w:rFonts w:eastAsia="SimSun"/>
                <w:i/>
              </w:rPr>
              <w:br/>
            </w:r>
            <m:oMath>
              <m:sSub>
                <m:sSubPr>
                  <m:ctrlPr>
                    <w:rPr>
                      <w:rFonts w:ascii="Cambria Math" w:eastAsia="SimSun" w:hAnsi="Cambria Math"/>
                      <w:i/>
                    </w:rPr>
                  </m:ctrlPr>
                </m:sSubPr>
                <m:e>
                  <m:r>
                    <w:rPr>
                      <w:rFonts w:ascii="Cambria Math" w:eastAsia="SimSun" w:hAnsi="Cambria Math"/>
                    </w:rPr>
                    <m:t>L</m:t>
                  </m:r>
                </m:e>
                <m:sub>
                  <m:r>
                    <w:rPr>
                      <w:rFonts w:ascii="Cambria Math" w:eastAsia="SimSun" w:hAnsi="Cambria Math"/>
                    </w:rPr>
                    <m:t>w</m:t>
                  </m:r>
                </m:sub>
              </m:sSub>
              <m:r>
                <w:rPr>
                  <w:rFonts w:ascii="Cambria Math" w:eastAsia="SimSun" w:hAnsi="Cambria Math"/>
                </w:rPr>
                <m:t> </m:t>
              </m:r>
            </m:oMath>
            <w:r>
              <w:rPr>
                <w:rFonts w:eastAsia="SimSun"/>
                <w:i/>
              </w:rPr>
              <w:t>: largeur du palier en [mm]</w:t>
            </w:r>
            <w:r>
              <w:rPr>
                <w:rFonts w:eastAsia="SimSun"/>
                <w:i/>
              </w:rPr>
              <w:br/>
            </w:r>
            <m:oMath>
              <m:r>
                <w:rPr>
                  <w:rFonts w:ascii="Cambria Math" w:eastAsia="SimSun" w:hAnsi="Cambria Math"/>
                </w:rPr>
                <m:t>L </m:t>
              </m:r>
            </m:oMath>
            <w:r>
              <w:rPr>
                <w:rFonts w:eastAsia="SimSun"/>
                <w:i/>
              </w:rPr>
              <w:t>: distance axiale entre le milieu du disque et le milieu du palier [mm]</w:t>
            </w:r>
            <w:r>
              <w:rPr>
                <w:rFonts w:eastAsia="SimSun"/>
                <w:i/>
              </w:rPr>
              <w:br/>
            </w:r>
            <m:oMath>
              <m:r>
                <w:rPr>
                  <w:rFonts w:ascii="Cambria Math" w:eastAsia="SimSun" w:hAnsi="Cambria Math"/>
                </w:rPr>
                <m:t>R </m:t>
              </m:r>
            </m:oMath>
            <w:r>
              <w:rPr>
                <w:rFonts w:eastAsia="SimSun"/>
                <w:i/>
              </w:rPr>
              <w:t>: Rayon de l’arbre [mm]</w:t>
            </w:r>
            <w:r>
              <w:rPr>
                <w:rFonts w:eastAsia="SimSun"/>
                <w:i/>
              </w:rPr>
              <w:br/>
            </w:r>
            <m:oMath>
              <m:r>
                <w:rPr>
                  <w:rFonts w:ascii="Cambria Math" w:eastAsia="SimSun" w:hAnsi="Cambria Math"/>
                </w:rPr>
                <m:t>pha(</m:t>
              </m:r>
              <m:acc>
                <m:accPr>
                  <m:chr m:val="⃗"/>
                  <m:ctrlPr>
                    <w:rPr>
                      <w:rFonts w:ascii="Cambria Math" w:eastAsia="SimSun" w:hAnsi="Cambria Math"/>
                      <w:i/>
                    </w:rPr>
                  </m:ctrlPr>
                </m:accPr>
                <m:e>
                  <m:r>
                    <w:rPr>
                      <w:rFonts w:ascii="Cambria Math" w:eastAsia="SimSun" w:hAnsi="Cambria Math"/>
                    </w:rPr>
                    <m:t>C</m:t>
                  </m:r>
                </m:e>
              </m:acc>
              <m:r>
                <w:rPr>
                  <w:rFonts w:ascii="Cambria Math" w:eastAsia="SimSun" w:hAnsi="Cambria Math"/>
                </w:rPr>
                <m:t>) </m:t>
              </m:r>
            </m:oMath>
            <w:r>
              <w:rPr>
                <w:rFonts w:eastAsia="SimSun"/>
                <w:i/>
              </w:rPr>
              <w:t xml:space="preserve">: 180 degré à cause de la courbure de rotor générée par </w:t>
            </w:r>
            <m:oMath>
              <m:acc>
                <m:accPr>
                  <m:chr m:val="⃗"/>
                  <m:ctrlPr>
                    <w:rPr>
                      <w:rFonts w:ascii="Cambria Math" w:eastAsia="SimSun" w:hAnsi="Cambria Math"/>
                      <w:i/>
                    </w:rPr>
                  </m:ctrlPr>
                </m:accPr>
                <m:e>
                  <m:r>
                    <w:rPr>
                      <w:rFonts w:ascii="Cambria Math" w:eastAsia="SimSun" w:hAnsi="Cambria Math"/>
                    </w:rPr>
                    <m:t>T</m:t>
                  </m:r>
                </m:e>
              </m:acc>
            </m:oMath>
            <w:r>
              <w:rPr>
                <w:rFonts w:eastAsia="SimSun"/>
                <w:i/>
              </w:rPr>
              <w:t xml:space="preserve"> </w:t>
            </w:r>
          </w:p>
        </w:tc>
        <w:tc>
          <w:tcPr>
            <w:tcW w:w="1091" w:type="dxa"/>
            <w:vAlign w:val="center"/>
          </w:tcPr>
          <w:p w14:paraId="6A899E58" w14:textId="77777777" w:rsidR="00574681" w:rsidRPr="008C024E" w:rsidRDefault="00574681" w:rsidP="00574681">
            <w:pPr>
              <w:pStyle w:val="Lgende"/>
              <w:keepNext/>
              <w:numPr>
                <w:ilvl w:val="0"/>
                <w:numId w:val="6"/>
              </w:numPr>
              <w:spacing w:before="120" w:after="120"/>
              <w:jc w:val="both"/>
              <w:rPr>
                <w:rFonts w:ascii="Times New Roman" w:eastAsia="Times New Roman" w:hAnsi="Times New Roman"/>
                <w:b/>
                <w:iCs w:val="0"/>
                <w:color w:val="auto"/>
                <w:sz w:val="22"/>
                <w:szCs w:val="22"/>
                <w:lang w:eastAsia="fr-FR"/>
              </w:rPr>
            </w:pPr>
            <w:bookmarkStart w:id="5" w:name="_Ref518572565"/>
            <w:r w:rsidRPr="008C024E">
              <w:rPr>
                <w:rFonts w:ascii="Times New Roman" w:eastAsia="Times New Roman" w:hAnsi="Times New Roman"/>
                <w:b/>
                <w:iCs w:val="0"/>
                <w:color w:val="auto"/>
                <w:sz w:val="22"/>
                <w:szCs w:val="22"/>
                <w:lang w:eastAsia="fr-FR"/>
              </w:rPr>
              <w:t xml:space="preserve"> </w:t>
            </w:r>
            <w:bookmarkEnd w:id="5"/>
          </w:p>
        </w:tc>
      </w:tr>
    </w:tbl>
    <w:p w14:paraId="762DE164" w14:textId="0FBA7D43" w:rsidR="00574681" w:rsidRDefault="00574681" w:rsidP="00574681">
      <w:r>
        <w:t>Un critère de stabilité (</w:t>
      </w:r>
      <w:r>
        <w:fldChar w:fldCharType="begin"/>
      </w:r>
      <w:r>
        <w:instrText xml:space="preserve"> REF _Ref518575657 \r \h </w:instrText>
      </w:r>
      <w:r>
        <w:fldChar w:fldCharType="separate"/>
      </w:r>
      <w:r w:rsidR="00246D55">
        <w:t>Eq.7</w:t>
      </w:r>
      <w:r>
        <w:fldChar w:fldCharType="end"/>
      </w:r>
      <w:r>
        <w:t xml:space="preserve">) est </w:t>
      </w:r>
      <w:r w:rsidR="00A31F97">
        <w:t>utilisé</w:t>
      </w:r>
      <w:r>
        <w:t xml:space="preserve"> pour prédire si le système comporte une instabilité vibratoire provoquée par l’effet Morton.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574681" w:rsidRPr="005708CD" w14:paraId="7404F1EE" w14:textId="77777777" w:rsidTr="00FE1987">
        <w:trPr>
          <w:trHeight w:val="635"/>
          <w:jc w:val="center"/>
        </w:trPr>
        <w:tc>
          <w:tcPr>
            <w:tcW w:w="7214" w:type="dxa"/>
            <w:vAlign w:val="center"/>
          </w:tcPr>
          <w:p w14:paraId="592CA12D" w14:textId="2C802302" w:rsidR="00574681" w:rsidRPr="007C7D68" w:rsidRDefault="00574681" w:rsidP="0078551C">
            <w:pPr>
              <w:spacing w:before="120" w:after="120"/>
              <w:jc w:val="center"/>
              <w:rPr>
                <w:rFonts w:eastAsia="SimSun"/>
                <w:i/>
              </w:rPr>
            </w:pPr>
            <w:r>
              <w:t xml:space="preserve"> </w:t>
            </w:r>
            <m:oMath>
              <m:r>
                <w:rPr>
                  <w:rFonts w:ascii="Cambria Math" w:hAnsi="Cambria Math"/>
                </w:rPr>
                <m:t>Re</m:t>
              </m:r>
              <m:d>
                <m:dPr>
                  <m:ctrlPr>
                    <w:rPr>
                      <w:rFonts w:ascii="Cambria Math" w:hAnsi="Cambria Math"/>
                      <w:i/>
                    </w:rPr>
                  </m:ctrlPr>
                </m:dPr>
                <m:e>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C</m:t>
                      </m:r>
                    </m:e>
                  </m:acc>
                </m:e>
              </m:d>
              <m:r>
                <w:rPr>
                  <w:rFonts w:ascii="Cambria Math" w:hAnsi="Cambria Math"/>
                </w:rPr>
                <m:t>≤1</m:t>
              </m:r>
            </m:oMath>
            <w:r>
              <w:t xml:space="preserve">    stable</w:t>
            </w:r>
            <w:r>
              <w:rPr>
                <w:rFonts w:eastAsia="SimSun"/>
                <w:i/>
              </w:rPr>
              <w:t xml:space="preserve"> </w:t>
            </w:r>
          </w:p>
        </w:tc>
        <w:tc>
          <w:tcPr>
            <w:tcW w:w="1092" w:type="dxa"/>
            <w:vAlign w:val="center"/>
          </w:tcPr>
          <w:p w14:paraId="20303243" w14:textId="77777777" w:rsidR="00574681" w:rsidRPr="005708CD" w:rsidRDefault="00574681" w:rsidP="00574681">
            <w:pPr>
              <w:pStyle w:val="Lgende"/>
              <w:keepNext/>
              <w:numPr>
                <w:ilvl w:val="0"/>
                <w:numId w:val="6"/>
              </w:numPr>
              <w:spacing w:before="120" w:after="120"/>
              <w:jc w:val="both"/>
              <w:rPr>
                <w:rFonts w:ascii="Times New Roman" w:eastAsia="Times New Roman" w:hAnsi="Times New Roman"/>
                <w:b/>
                <w:iCs w:val="0"/>
                <w:color w:val="auto"/>
                <w:sz w:val="22"/>
                <w:szCs w:val="22"/>
                <w:lang w:eastAsia="fr-FR"/>
              </w:rPr>
            </w:pPr>
            <w:bookmarkStart w:id="6" w:name="_Ref518575657"/>
            <w:r w:rsidRPr="005708CD">
              <w:rPr>
                <w:rFonts w:ascii="Times New Roman" w:eastAsia="Times New Roman" w:hAnsi="Times New Roman"/>
                <w:b/>
                <w:iCs w:val="0"/>
                <w:color w:val="auto"/>
                <w:sz w:val="22"/>
                <w:szCs w:val="22"/>
                <w:lang w:eastAsia="fr-FR"/>
              </w:rPr>
              <w:t xml:space="preserve"> </w:t>
            </w:r>
            <w:bookmarkEnd w:id="6"/>
          </w:p>
        </w:tc>
      </w:tr>
    </w:tbl>
    <w:p w14:paraId="7CC21D23" w14:textId="6F0A4F30" w:rsidR="00574681" w:rsidRDefault="00574681" w:rsidP="00574681">
      <w:r>
        <w:t xml:space="preserve">Le critère de stabilité montre que cette instabilité vibratoire dépend uniquement des trois vecteurs de coefficient d’influence. Plus la valeur de chaque vecteur est importante, plus le système pourrait être instable. Cependant, la phase associée avec ces coefficients joue aussi un rôle important. Malgré de valeur importante de ces trois vecteurs, le système du rotor pourrait rester stable si la partie réelle du produit vectoriel de </w:t>
      </w:r>
      <m:oMath>
        <m:acc>
          <m:accPr>
            <m:chr m:val="⃗"/>
            <m:ctrlPr>
              <w:rPr>
                <w:rFonts w:ascii="Cambria Math" w:eastAsia="Calibri" w:hAnsi="Cambria Math"/>
                <w:i/>
                <w:lang w:eastAsia="en-US"/>
              </w:rPr>
            </m:ctrlPr>
          </m:accPr>
          <m:e>
            <m:r>
              <w:rPr>
                <w:rFonts w:ascii="Cambria Math" w:hAnsi="Cambria Math"/>
              </w:rPr>
              <m:t>B</m:t>
            </m:r>
          </m:e>
        </m:acc>
        <m:acc>
          <m:accPr>
            <m:chr m:val="⃗"/>
            <m:ctrlPr>
              <w:rPr>
                <w:rFonts w:ascii="Cambria Math" w:eastAsia="Calibri" w:hAnsi="Cambria Math"/>
                <w:i/>
                <w:lang w:eastAsia="en-US"/>
              </w:rPr>
            </m:ctrlPr>
          </m:accPr>
          <m:e>
            <m:r>
              <w:rPr>
                <w:rFonts w:ascii="Cambria Math" w:hAnsi="Cambria Math"/>
              </w:rPr>
              <m:t>A</m:t>
            </m:r>
          </m:e>
        </m:acc>
        <m:acc>
          <m:accPr>
            <m:chr m:val="⃗"/>
            <m:ctrlPr>
              <w:rPr>
                <w:rFonts w:ascii="Cambria Math" w:eastAsia="Calibri" w:hAnsi="Cambria Math"/>
                <w:i/>
                <w:lang w:eastAsia="en-US"/>
              </w:rPr>
            </m:ctrlPr>
          </m:accPr>
          <m:e>
            <m:r>
              <w:rPr>
                <w:rFonts w:ascii="Cambria Math" w:hAnsi="Cambria Math"/>
              </w:rPr>
              <m:t>C</m:t>
            </m:r>
          </m:e>
        </m:acc>
      </m:oMath>
      <w:r>
        <w:rPr>
          <w:lang w:eastAsia="en-US"/>
        </w:rPr>
        <w:t xml:space="preserve"> ne dépasse pas 1.</w:t>
      </w:r>
    </w:p>
    <w:p w14:paraId="3DE4B449" w14:textId="6AEE3318" w:rsidR="00574681" w:rsidRDefault="00574681" w:rsidP="00574681">
      <w:r>
        <w:t xml:space="preserve">Grâce à cette approche simple, l’analyse simple de l’effet Morton devient possible avec les outils numériques universels en dynamique de rotor et en lubrification. Cependant, le fait que la méthode </w:t>
      </w:r>
      <w:r>
        <w:lastRenderedPageBreak/>
        <w:t>utilise seulement les informations en régime stationnaire, ce qui rend la méthode dédiée à prédire l’existence de l’effet Morton et ne permet pas de l’analyse de l’effet Morton en régime transitoire.</w:t>
      </w:r>
    </w:p>
    <w:p w14:paraId="44A55035" w14:textId="1ECA1F3C" w:rsidR="00E21D2D" w:rsidRPr="00DD0AC7" w:rsidRDefault="00E21D2D" w:rsidP="00E21D2D">
      <w:pPr>
        <w:rPr>
          <w:lang w:val="en-US"/>
        </w:rPr>
      </w:pPr>
      <w:r w:rsidRPr="00DD0AC7">
        <w:rPr>
          <w:lang w:val="en-US"/>
        </w:rPr>
        <w:t>Murphy and Lorenz applied this method to a double overhung turboexpander</w:t>
      </w:r>
      <w:r w:rsidR="008E0BDD">
        <w:rPr>
          <w:lang w:val="en-US"/>
        </w:rPr>
        <w:t xml:space="preserve"> </w:t>
      </w:r>
      <w:r w:rsidR="008E0BDD" w:rsidRPr="008E0BDD">
        <w:rPr>
          <w:b/>
          <w:lang w:val="en-US"/>
        </w:rPr>
        <w:fldChar w:fldCharType="begin"/>
      </w:r>
      <w:r w:rsidR="008E0BDD" w:rsidRPr="008E0BDD">
        <w:rPr>
          <w:b/>
          <w:lang w:val="en-US"/>
        </w:rPr>
        <w:instrText xml:space="preserve"> REF _Ref523086492 \r \h </w:instrText>
      </w:r>
      <w:r w:rsidR="008E0BDD">
        <w:rPr>
          <w:b/>
          <w:lang w:val="en-US"/>
        </w:rPr>
        <w:instrText xml:space="preserve"> \* MERGEFORMAT </w:instrText>
      </w:r>
      <w:r w:rsidR="008E0BDD" w:rsidRPr="008E0BDD">
        <w:rPr>
          <w:b/>
          <w:lang w:val="en-US"/>
        </w:rPr>
      </w:r>
      <w:r w:rsidR="008E0BDD" w:rsidRPr="008E0BDD">
        <w:rPr>
          <w:b/>
          <w:lang w:val="en-US"/>
        </w:rPr>
        <w:fldChar w:fldCharType="separate"/>
      </w:r>
      <w:r w:rsidR="00246D55">
        <w:rPr>
          <w:b/>
          <w:lang w:val="en-US"/>
        </w:rPr>
        <w:t>[7]</w:t>
      </w:r>
      <w:r w:rsidR="008E0BDD" w:rsidRPr="008E0BDD">
        <w:rPr>
          <w:b/>
          <w:lang w:val="en-US"/>
        </w:rPr>
        <w:fldChar w:fldCharType="end"/>
      </w:r>
      <w:r w:rsidRPr="00DD0AC7">
        <w:rPr>
          <w:lang w:val="en-US"/>
        </w:rPr>
        <w:t xml:space="preserve"> and predicted a ME instability onset speed which was close relative to the observed speed.  </w:t>
      </w:r>
    </w:p>
    <w:p w14:paraId="161FCE18" w14:textId="674694E4" w:rsidR="003372DD" w:rsidRPr="00DD0AC7" w:rsidRDefault="003372DD" w:rsidP="003724EB">
      <w:pPr>
        <w:rPr>
          <w:lang w:val="en-US"/>
        </w:rPr>
      </w:pPr>
    </w:p>
    <w:p w14:paraId="1F4C83CF" w14:textId="77777777" w:rsidR="002817AD" w:rsidRPr="00DD0AC7" w:rsidRDefault="002817AD" w:rsidP="003724EB">
      <w:pPr>
        <w:rPr>
          <w:lang w:val="en-US"/>
        </w:rPr>
      </w:pPr>
    </w:p>
    <w:p w14:paraId="19CAE957" w14:textId="06148653" w:rsidR="003372DD" w:rsidRDefault="00E160FB" w:rsidP="00CB7272">
      <w:pPr>
        <w:pStyle w:val="Titre2"/>
      </w:pPr>
      <w:r>
        <w:t xml:space="preserve">Méthodes </w:t>
      </w:r>
      <w:r w:rsidR="00FA1A13">
        <w:t>du</w:t>
      </w:r>
      <w:r>
        <w:t xml:space="preserve"> </w:t>
      </w:r>
      <w:r w:rsidR="003372DD">
        <w:t>balourd</w:t>
      </w:r>
      <w:r w:rsidR="005A1C0A">
        <w:t xml:space="preserve"> critique</w:t>
      </w:r>
      <w:r w:rsidR="00FA1A13">
        <w:t xml:space="preserve"> </w:t>
      </w:r>
      <w:r w:rsidR="00FC74C4">
        <w:t>prédéfini</w:t>
      </w:r>
    </w:p>
    <w:p w14:paraId="7B427595" w14:textId="1F1DC59D" w:rsidR="00E160FB" w:rsidRDefault="00E160FB" w:rsidP="003724EB"/>
    <w:p w14:paraId="52F045E6" w14:textId="350CD0DD" w:rsidR="00D92B19" w:rsidRDefault="00675419" w:rsidP="00D92B19">
      <w:r w:rsidRPr="00A22718">
        <w:rPr>
          <w:b/>
        </w:rPr>
        <w:t>En 2004</w:t>
      </w:r>
      <w:r w:rsidRPr="00A22718">
        <w:t xml:space="preserve">, Kirk et Balbahadur </w:t>
      </w:r>
      <w:r w:rsidRPr="00A22718">
        <w:rPr>
          <w:b/>
        </w:rPr>
        <w:fldChar w:fldCharType="begin"/>
      </w:r>
      <w:r w:rsidRPr="00A22718">
        <w:rPr>
          <w:b/>
        </w:rPr>
        <w:instrText xml:space="preserve"> REF _Ref444181331 \r \h  \* MERGEFORMAT </w:instrText>
      </w:r>
      <w:r w:rsidRPr="00A22718">
        <w:rPr>
          <w:b/>
        </w:rPr>
      </w:r>
      <w:r w:rsidRPr="00A22718">
        <w:rPr>
          <w:b/>
        </w:rPr>
        <w:fldChar w:fldCharType="separate"/>
      </w:r>
      <w:r w:rsidR="00246D55">
        <w:rPr>
          <w:b/>
        </w:rPr>
        <w:t>[8]</w:t>
      </w:r>
      <w:r w:rsidRPr="00A22718">
        <w:rPr>
          <w:b/>
        </w:rPr>
        <w:fldChar w:fldCharType="end"/>
      </w:r>
      <w:r w:rsidRPr="00A22718">
        <w:t xml:space="preserve"> </w:t>
      </w:r>
      <w:r w:rsidR="00D92B19" w:rsidRPr="00C64243">
        <w:t xml:space="preserve">ont </w:t>
      </w:r>
      <w:r w:rsidR="00D92B19">
        <w:t xml:space="preserve">proposé une méthode de balourd critique </w:t>
      </w:r>
      <w:r w:rsidR="00D92B19" w:rsidRPr="00C64243">
        <w:t>pour la prédiction de l'</w:t>
      </w:r>
      <w:r w:rsidR="00D92B19">
        <w:t>effet Morton</w:t>
      </w:r>
      <w:r w:rsidR="00D92B19" w:rsidRPr="00C64243">
        <w:t>.</w:t>
      </w:r>
      <w:r w:rsidR="00D92B19">
        <w:t xml:space="preserve"> </w:t>
      </w:r>
      <w:r w:rsidR="00694E32" w:rsidRPr="00A22718">
        <w:t>L’objectif de ce modèle simple était d’effectuer l’analyse en régime permanent et de prédire l’amorçage de</w:t>
      </w:r>
      <w:r w:rsidR="00694E32">
        <w:t xml:space="preserve"> l’effet Morton</w:t>
      </w:r>
      <w:r w:rsidR="00694E32" w:rsidRPr="00A22718">
        <w:t xml:space="preserve">. </w:t>
      </w:r>
      <w:r w:rsidR="00694E32">
        <w:t xml:space="preserve"> </w:t>
      </w:r>
      <w:r w:rsidR="00D92B19" w:rsidRPr="00FB1C5C">
        <w:t xml:space="preserve">Dans cette méthode, le </w:t>
      </w:r>
      <w:r w:rsidR="00D92B19">
        <w:t>balourd</w:t>
      </w:r>
      <w:r w:rsidR="00D92B19" w:rsidRPr="00FB1C5C">
        <w:t xml:space="preserve"> mécanique initial </w:t>
      </w:r>
      <w:r w:rsidR="00D92B19">
        <w:t>est imposé au centre de masse du disque en porte à faux et sa quantité est supposée égale à 10% de la masse total du rotor à la vitesse maximum de son fonctionnement.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D92B19" w:rsidRPr="005708CD" w14:paraId="486B4203" w14:textId="77777777" w:rsidTr="00FE1987">
        <w:trPr>
          <w:trHeight w:val="635"/>
          <w:jc w:val="center"/>
        </w:trPr>
        <w:tc>
          <w:tcPr>
            <w:tcW w:w="7214" w:type="dxa"/>
            <w:vAlign w:val="center"/>
          </w:tcPr>
          <w:p w14:paraId="66B677BF" w14:textId="7AE9628A" w:rsidR="00D92B19" w:rsidRPr="007C7D68" w:rsidRDefault="00FE1987" w:rsidP="00FE1987">
            <w:pPr>
              <w:spacing w:before="120" w:after="120"/>
              <w:jc w:val="center"/>
              <w:rPr>
                <w:rFonts w:eastAsia="SimSun"/>
                <w:i/>
              </w:rPr>
            </w:pPr>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initial</m:t>
                  </m:r>
                </m:sub>
              </m:sSub>
              <m:r>
                <w:rPr>
                  <w:rFonts w:ascii="Cambria Math" w:hAnsi="Cambria Math"/>
                </w:rPr>
                <m:t xml:space="preserve"> =</m:t>
              </m:r>
              <m:f>
                <m:fPr>
                  <m:ctrlPr>
                    <w:rPr>
                      <w:rFonts w:ascii="Cambria Math" w:hAnsi="Cambria Math"/>
                      <w:i/>
                    </w:rPr>
                  </m:ctrlPr>
                </m:fPr>
                <m:num>
                  <m:r>
                    <w:rPr>
                      <w:rFonts w:ascii="Cambria Math" w:hAnsi="Cambria Math"/>
                    </w:rPr>
                    <m:t>0.1</m:t>
                  </m:r>
                  <m:r>
                    <w:rPr>
                      <w:rFonts w:ascii="Cambria Math" w:hAnsi="Cambria Math" w:cs="Cambria Math"/>
                    </w:rPr>
                    <m:t>W</m:t>
                  </m:r>
                </m:num>
                <m:den>
                  <m:sSubSup>
                    <m:sSubSupPr>
                      <m:ctrlPr>
                        <w:rPr>
                          <w:rFonts w:ascii="Cambria Math" w:hAnsi="Cambria Math" w:cs="Cambria Math"/>
                          <w:i/>
                        </w:rPr>
                      </m:ctrlPr>
                    </m:sSubSupPr>
                    <m:e>
                      <m:r>
                        <w:rPr>
                          <w:rFonts w:ascii="Cambria Math" w:hAnsi="Cambria Math" w:cs="Cambria Math"/>
                        </w:rPr>
                        <m:t>ω</m:t>
                      </m:r>
                    </m:e>
                    <m:sub>
                      <m:r>
                        <w:rPr>
                          <w:rFonts w:ascii="Cambria Math" w:hAnsi="Cambria Math" w:cs="Cambria Math"/>
                        </w:rPr>
                        <m:t>max</m:t>
                      </m:r>
                    </m:sub>
                    <m:sup>
                      <m:r>
                        <w:rPr>
                          <w:rFonts w:ascii="Cambria Math" w:hAnsi="Cambria Math" w:cs="Cambria Math"/>
                        </w:rPr>
                        <m:t>2</m:t>
                      </m:r>
                    </m:sup>
                  </m:sSubSup>
                </m:den>
              </m:f>
            </m:oMath>
            <w:r w:rsidR="00D92B19">
              <w:rPr>
                <w:rFonts w:eastAsia="SimSun"/>
                <w:i/>
                <w:sz w:val="24"/>
              </w:rPr>
              <w:t xml:space="preserve"> </w:t>
            </w:r>
          </w:p>
        </w:tc>
        <w:tc>
          <w:tcPr>
            <w:tcW w:w="1092" w:type="dxa"/>
            <w:vAlign w:val="center"/>
          </w:tcPr>
          <w:p w14:paraId="011CC982" w14:textId="77777777" w:rsidR="00D92B19" w:rsidRPr="005708CD" w:rsidRDefault="00D92B19" w:rsidP="00FE1987">
            <w:pPr>
              <w:pStyle w:val="Lgende"/>
              <w:keepNext/>
              <w:numPr>
                <w:ilvl w:val="0"/>
                <w:numId w:val="6"/>
              </w:numPr>
              <w:spacing w:before="120" w:after="120"/>
              <w:jc w:val="both"/>
              <w:rPr>
                <w:rFonts w:ascii="Times New Roman" w:eastAsia="Times New Roman" w:hAnsi="Times New Roman"/>
                <w:b/>
                <w:iCs w:val="0"/>
                <w:color w:val="auto"/>
                <w:sz w:val="22"/>
                <w:szCs w:val="22"/>
                <w:lang w:eastAsia="fr-FR"/>
              </w:rPr>
            </w:pPr>
            <w:r w:rsidRPr="005708CD">
              <w:rPr>
                <w:rFonts w:ascii="Times New Roman" w:eastAsia="Times New Roman" w:hAnsi="Times New Roman"/>
                <w:b/>
                <w:iCs w:val="0"/>
                <w:color w:val="auto"/>
                <w:sz w:val="22"/>
                <w:szCs w:val="22"/>
                <w:lang w:eastAsia="fr-FR"/>
              </w:rPr>
              <w:t xml:space="preserve"> </w:t>
            </w:r>
          </w:p>
        </w:tc>
      </w:tr>
    </w:tbl>
    <w:p w14:paraId="55F0AD64" w14:textId="537A9DF6" w:rsidR="00675419" w:rsidRPr="00A22718" w:rsidRDefault="002471D7" w:rsidP="00675419">
      <w:r w:rsidRPr="00093FB1">
        <w:t xml:space="preserve">Le </w:t>
      </w:r>
      <w:r>
        <w:t>balourd</w:t>
      </w:r>
      <w:r w:rsidRPr="00093FB1">
        <w:t xml:space="preserve"> mécanique </w:t>
      </w:r>
      <w:r w:rsidR="00D85349">
        <w:t xml:space="preserve">initial </w:t>
      </w:r>
      <w:r w:rsidRPr="00093FB1">
        <w:t xml:space="preserve">a ensuite été utilisé pour prédire l’orbite à l’état stationnaire et </w:t>
      </w:r>
      <w:r>
        <w:t xml:space="preserve">la position </w:t>
      </w:r>
      <w:r w:rsidRPr="00093FB1">
        <w:t>du point haut</w:t>
      </w:r>
      <w:r>
        <w:t xml:space="preserve"> du rotor dans le palier</w:t>
      </w:r>
      <w:r w:rsidRPr="00093FB1">
        <w:t>.</w:t>
      </w:r>
      <w:r>
        <w:t xml:space="preserve"> En outre, le point chaud est supposé coïncident avec le point haut. La distribution non uniforme de la température à la surface du rotor dans le palier a été calculée en </w:t>
      </w:r>
      <w:r w:rsidRPr="00093FB1">
        <w:t xml:space="preserve">résolvant l’équation </w:t>
      </w:r>
      <w:r>
        <w:t>de l’énergie</w:t>
      </w:r>
      <w:r w:rsidRPr="00093FB1">
        <w:t xml:space="preserve"> simplifiée 1D, qui néglige l</w:t>
      </w:r>
      <w:r>
        <w:t>’effet transitoire et</w:t>
      </w:r>
      <w:r w:rsidRPr="00093FB1">
        <w:t xml:space="preserve"> le flux thermique axial.</w:t>
      </w:r>
      <w:r w:rsidR="00DE7B3F">
        <w:t xml:space="preserve"> </w:t>
      </w:r>
      <w:r w:rsidRPr="00093FB1">
        <w:t xml:space="preserve">Enfin, le </w:t>
      </w:r>
      <w:r>
        <w:t>balourd thermique</w:t>
      </w:r>
      <w:r w:rsidRPr="00093FB1">
        <w:t xml:space="preserve"> causé par la flexion thermique a été calculé en multipliant la masse </w:t>
      </w:r>
      <w:r>
        <w:t>concentrée du disque</w:t>
      </w:r>
      <w:r w:rsidRPr="00093FB1">
        <w:t xml:space="preserve"> </w:t>
      </w:r>
      <w:r w:rsidRPr="00093FB1">
        <w:rPr>
          <w:rFonts w:ascii="Cambria Math" w:hAnsi="Cambria Math" w:cs="Cambria Math"/>
        </w:rPr>
        <w:t>𝑀</w:t>
      </w:r>
      <w:r w:rsidRPr="00093FB1">
        <w:t xml:space="preserve"> et la distance</w:t>
      </w:r>
      <w:r>
        <w:t xml:space="preserve"> de déviation de l’axe de rotation</w:t>
      </w:r>
      <w:r w:rsidRPr="00093FB1">
        <w:t xml:space="preserve"> </w:t>
      </w:r>
      <w:r w:rsidRPr="00093FB1">
        <w:rPr>
          <w:rFonts w:ascii="Cambria Math" w:hAnsi="Cambria Math" w:cs="Cambria Math"/>
        </w:rPr>
        <w:t>𝑒</w:t>
      </w:r>
      <w:r>
        <w:t xml:space="preserve">. La phase de la flexion thermique correspondait à la déformation thermique au niveau du palier hydrodynamique. Cette modélisation du balourd thermique peut également être retrouvé dans les modèles de de Jong </w:t>
      </w:r>
      <w:r w:rsidRPr="00E5552C">
        <w:rPr>
          <w:b/>
        </w:rPr>
        <w:fldChar w:fldCharType="begin"/>
      </w:r>
      <w:r w:rsidRPr="00E5552C">
        <w:rPr>
          <w:b/>
        </w:rPr>
        <w:instrText xml:space="preserve"> REF _Ref523083697 \r \h </w:instrText>
      </w:r>
      <w:r>
        <w:rPr>
          <w:b/>
        </w:rPr>
        <w:instrText xml:space="preserve"> \* MERGEFORMAT </w:instrText>
      </w:r>
      <w:r w:rsidRPr="00E5552C">
        <w:rPr>
          <w:b/>
        </w:rPr>
      </w:r>
      <w:r w:rsidRPr="00E5552C">
        <w:rPr>
          <w:b/>
        </w:rPr>
        <w:fldChar w:fldCharType="separate"/>
      </w:r>
      <w:r w:rsidR="00246D55">
        <w:rPr>
          <w:b/>
        </w:rPr>
        <w:t>[4]</w:t>
      </w:r>
      <w:r w:rsidRPr="00E5552C">
        <w:rPr>
          <w:b/>
        </w:rPr>
        <w:fldChar w:fldCharType="end"/>
      </w:r>
      <w:r>
        <w:t xml:space="preserve"> and Murphy </w:t>
      </w:r>
      <w:r w:rsidRPr="00E5552C">
        <w:rPr>
          <w:b/>
        </w:rPr>
        <w:fldChar w:fldCharType="begin"/>
      </w:r>
      <w:r w:rsidRPr="00E5552C">
        <w:rPr>
          <w:b/>
        </w:rPr>
        <w:instrText xml:space="preserve"> REF _Ref523086107 \r \h </w:instrText>
      </w:r>
      <w:r>
        <w:rPr>
          <w:b/>
        </w:rPr>
        <w:instrText xml:space="preserve"> \* MERGEFORMAT </w:instrText>
      </w:r>
      <w:r w:rsidRPr="00E5552C">
        <w:rPr>
          <w:b/>
        </w:rPr>
      </w:r>
      <w:r w:rsidRPr="00E5552C">
        <w:rPr>
          <w:b/>
        </w:rPr>
        <w:fldChar w:fldCharType="separate"/>
      </w:r>
      <w:r w:rsidR="00246D55">
        <w:rPr>
          <w:b/>
        </w:rPr>
        <w:t>[6]</w:t>
      </w:r>
      <w:r w:rsidRPr="00E5552C">
        <w:rPr>
          <w:b/>
        </w:rPr>
        <w:fldChar w:fldCharType="end"/>
      </w:r>
      <w:r>
        <w:t xml:space="preserve">. </w:t>
      </w:r>
      <w:r w:rsidRPr="006042CB">
        <w:t xml:space="preserve">Le </w:t>
      </w:r>
      <w:r>
        <w:t>balourd total</w:t>
      </w:r>
      <w:r w:rsidRPr="006042CB">
        <w:t xml:space="preserve"> était la somme vectorielle du </w:t>
      </w:r>
      <w:r>
        <w:t xml:space="preserve">balourd </w:t>
      </w:r>
      <w:r w:rsidRPr="006042CB">
        <w:t xml:space="preserve">mécanique et thermique et s'il dépassait le </w:t>
      </w:r>
      <w:r>
        <w:t xml:space="preserve">balourd critique </w:t>
      </w:r>
      <w:r w:rsidR="008A021B">
        <w:t>prédéfini</w:t>
      </w:r>
      <m:oMath>
        <m:r>
          <w:rPr>
            <w:rFonts w:ascii="Cambria Math" w:hAnsi="Cambria Math"/>
          </w:rPr>
          <m:t xml:space="preserve"> </m:t>
        </m:r>
        <m:sSub>
          <m:sSubPr>
            <m:ctrlPr>
              <w:rPr>
                <w:rFonts w:ascii="Cambria Math" w:hAnsi="Cambria Math" w:cs="Cambria Math"/>
                <w:i/>
              </w:rPr>
            </m:ctrlPr>
          </m:sSubPr>
          <m:e>
            <m:r>
              <w:rPr>
                <w:rFonts w:ascii="Cambria Math" w:hAnsi="Cambria Math" w:cs="Cambria Math"/>
                <w:lang w:val="en-US"/>
              </w:rPr>
              <m:t>U</m:t>
            </m:r>
            <m:ctrlPr>
              <w:rPr>
                <w:rFonts w:ascii="Cambria Math" w:hAnsi="Cambria Math" w:cs="Cambria Math"/>
                <w:i/>
                <w:lang w:val="en-US"/>
              </w:rPr>
            </m:ctrlPr>
          </m:e>
          <m:sub>
            <m:r>
              <w:rPr>
                <w:rFonts w:ascii="Cambria Math" w:hAnsi="Cambria Math" w:cs="Cambria Math"/>
                <w:lang w:val="en-US"/>
              </w:rPr>
              <m:t>crtique</m:t>
            </m:r>
          </m:sub>
        </m:sSub>
      </m:oMath>
      <w:r w:rsidRPr="006042CB">
        <w:t>, le système était instable.</w:t>
      </w:r>
      <w:r w:rsidR="00DE7B3F">
        <w:t xml:space="preserve"> </w:t>
      </w:r>
      <w:r w:rsidR="00675419" w:rsidRPr="00A22718">
        <w:t xml:space="preserve">Tout ce processus est </w:t>
      </w:r>
      <w:r w:rsidR="00675419">
        <w:t>re</w:t>
      </w:r>
      <w:r w:rsidR="00675419" w:rsidRPr="00A22718">
        <w:t>présenté par</w:t>
      </w:r>
      <w:r w:rsidR="00B15387">
        <w:t xml:space="preserve"> le diagramme dans</w:t>
      </w:r>
      <w:r w:rsidR="00675419">
        <w:t xml:space="preserve"> la</w:t>
      </w:r>
      <w:r w:rsidR="00675419" w:rsidRPr="00A22718">
        <w:t xml:space="preserve"> </w:t>
      </w:r>
      <w:r w:rsidR="00675419" w:rsidRPr="006E2E22">
        <w:rPr>
          <w:b/>
        </w:rPr>
        <w:fldChar w:fldCharType="begin"/>
      </w:r>
      <w:r w:rsidR="00675419" w:rsidRPr="006E2E22">
        <w:rPr>
          <w:b/>
        </w:rPr>
        <w:instrText xml:space="preserve"> REF _Ref442883320 \h  \* MERGEFORMAT </w:instrText>
      </w:r>
      <w:r w:rsidR="00675419" w:rsidRPr="006E2E22">
        <w:rPr>
          <w:b/>
        </w:rPr>
      </w:r>
      <w:r w:rsidR="00675419" w:rsidRPr="006E2E22">
        <w:rPr>
          <w:b/>
        </w:rPr>
        <w:fldChar w:fldCharType="separate"/>
      </w:r>
      <w:r w:rsidR="00246D55" w:rsidRPr="00246D55">
        <w:rPr>
          <w:b/>
        </w:rPr>
        <w:t xml:space="preserve">Figure </w:t>
      </w:r>
      <w:r w:rsidR="00246D55" w:rsidRPr="00246D55">
        <w:rPr>
          <w:b/>
          <w:noProof/>
        </w:rPr>
        <w:t>2</w:t>
      </w:r>
      <w:r w:rsidR="00675419" w:rsidRPr="006E2E22">
        <w:rPr>
          <w:b/>
        </w:rPr>
        <w:fldChar w:fldCharType="end"/>
      </w:r>
      <w:r w:rsidR="00675419" w:rsidRPr="00A22718">
        <w:t>.</w:t>
      </w:r>
    </w:p>
    <w:p w14:paraId="0D38A73A" w14:textId="77777777" w:rsidR="00675419" w:rsidRPr="00A22718" w:rsidRDefault="00675419" w:rsidP="00675419">
      <w:pPr>
        <w:spacing w:line="276" w:lineRule="auto"/>
        <w:rPr>
          <w:rFonts w:asciiTheme="minorHAnsi" w:hAnsiTheme="minorHAnsi"/>
          <w:sz w:val="20"/>
          <w:szCs w:val="18"/>
        </w:rPr>
      </w:pPr>
    </w:p>
    <w:p w14:paraId="51742400" w14:textId="77777777" w:rsidR="00675419" w:rsidRPr="00A22718" w:rsidRDefault="00675419" w:rsidP="00675419">
      <w:pPr>
        <w:keepNext/>
        <w:spacing w:line="276" w:lineRule="auto"/>
        <w:rPr>
          <w:rFonts w:asciiTheme="minorHAnsi" w:hAnsiTheme="minorHAnsi"/>
          <w:sz w:val="24"/>
        </w:rPr>
      </w:pPr>
      <w:r w:rsidRPr="00A22718">
        <w:rPr>
          <w:rFonts w:asciiTheme="minorHAnsi" w:hAnsiTheme="minorHAnsi"/>
          <w:noProof/>
          <w:sz w:val="24"/>
          <w:lang w:eastAsia="zh-CN"/>
        </w:rPr>
        <w:drawing>
          <wp:inline distT="0" distB="0" distL="0" distR="0" wp14:anchorId="7E5C70D6" wp14:editId="3B61BF79">
            <wp:extent cx="5760720" cy="8229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822960"/>
                    </a:xfrm>
                    <a:prstGeom prst="rect">
                      <a:avLst/>
                    </a:prstGeom>
                  </pic:spPr>
                </pic:pic>
              </a:graphicData>
            </a:graphic>
          </wp:inline>
        </w:drawing>
      </w:r>
    </w:p>
    <w:p w14:paraId="6F95FC39" w14:textId="464DD6CB" w:rsidR="00675419" w:rsidRPr="00A22718" w:rsidRDefault="00675419" w:rsidP="00675419">
      <w:pPr>
        <w:pStyle w:val="Lgende"/>
        <w:spacing w:line="276" w:lineRule="auto"/>
        <w:jc w:val="center"/>
        <w:rPr>
          <w:color w:val="auto"/>
          <w:sz w:val="20"/>
        </w:rPr>
      </w:pPr>
      <w:bookmarkStart w:id="7" w:name="_Ref442883320"/>
      <w:r w:rsidRPr="00A22718">
        <w:rPr>
          <w:color w:val="auto"/>
          <w:sz w:val="20"/>
        </w:rPr>
        <w:t xml:space="preserve">Figure </w:t>
      </w:r>
      <w:r w:rsidRPr="00A22718">
        <w:rPr>
          <w:color w:val="auto"/>
          <w:sz w:val="20"/>
        </w:rPr>
        <w:fldChar w:fldCharType="begin"/>
      </w:r>
      <w:r w:rsidRPr="00A22718">
        <w:rPr>
          <w:color w:val="auto"/>
          <w:sz w:val="20"/>
        </w:rPr>
        <w:instrText xml:space="preserve"> SEQ Figure \* ARABIC </w:instrText>
      </w:r>
      <w:r w:rsidRPr="00A22718">
        <w:rPr>
          <w:color w:val="auto"/>
          <w:sz w:val="20"/>
        </w:rPr>
        <w:fldChar w:fldCharType="separate"/>
      </w:r>
      <w:r w:rsidR="004F4E02">
        <w:rPr>
          <w:noProof/>
          <w:color w:val="auto"/>
          <w:sz w:val="20"/>
        </w:rPr>
        <w:t>2</w:t>
      </w:r>
      <w:r w:rsidRPr="00A22718">
        <w:rPr>
          <w:color w:val="auto"/>
          <w:sz w:val="20"/>
        </w:rPr>
        <w:fldChar w:fldCharType="end"/>
      </w:r>
      <w:bookmarkEnd w:id="7"/>
      <w:r>
        <w:rPr>
          <w:color w:val="auto"/>
          <w:sz w:val="20"/>
        </w:rPr>
        <w:t xml:space="preserve"> -</w:t>
      </w:r>
      <w:r w:rsidRPr="00A22718">
        <w:rPr>
          <w:color w:val="auto"/>
          <w:sz w:val="20"/>
        </w:rPr>
        <w:t xml:space="preserve"> Diagramme du processus complet du modèle proposé par Kirk et Balbahadur.</w:t>
      </w:r>
    </w:p>
    <w:p w14:paraId="01CC23AF" w14:textId="2814BA5B" w:rsidR="00DE7B3F" w:rsidRDefault="00FE1987" w:rsidP="00DE7B3F">
      <m:oMath>
        <m:sSub>
          <m:sSubPr>
            <m:ctrlPr>
              <w:rPr>
                <w:rFonts w:ascii="Cambria Math" w:hAnsi="Cambria Math" w:cs="Cambria Math"/>
                <w:i/>
              </w:rPr>
            </m:ctrlPr>
          </m:sSubPr>
          <m:e>
            <m:r>
              <w:rPr>
                <w:rFonts w:ascii="Cambria Math" w:hAnsi="Cambria Math" w:cs="Cambria Math"/>
                <w:lang w:val="en-US"/>
              </w:rPr>
              <m:t>U</m:t>
            </m:r>
            <m:ctrlPr>
              <w:rPr>
                <w:rFonts w:ascii="Cambria Math" w:hAnsi="Cambria Math" w:cs="Cambria Math"/>
                <w:i/>
                <w:lang w:val="en-US"/>
              </w:rPr>
            </m:ctrlPr>
          </m:e>
          <m:sub>
            <m:r>
              <w:rPr>
                <w:rFonts w:ascii="Cambria Math" w:hAnsi="Cambria Math" w:cs="Cambria Math"/>
                <w:lang w:val="en-US"/>
              </w:rPr>
              <m:t>crtique</m:t>
            </m:r>
          </m:sub>
        </m:sSub>
      </m:oMath>
      <w:r w:rsidR="00DE7B3F">
        <w:t xml:space="preserve"> </w:t>
      </w:r>
      <w:r w:rsidR="00DE7B3F" w:rsidRPr="007D20E7">
        <w:t>d'abord a été défini</w:t>
      </w:r>
      <w:r w:rsidR="00DE7B3F">
        <w:t xml:space="preserve"> comme dépendant de la vitesse et sa valeur était de 15% du poids du rotor(</w:t>
      </w:r>
      <w:r w:rsidR="00DE7B3F">
        <w:fldChar w:fldCharType="begin"/>
      </w:r>
      <w:r w:rsidR="00DE7B3F">
        <w:instrText xml:space="preserve"> REF _Ref523090168 \r \h </w:instrText>
      </w:r>
      <w:r w:rsidR="00DE7B3F">
        <w:fldChar w:fldCharType="separate"/>
      </w:r>
      <w:r w:rsidR="00246D55">
        <w:t>Eq.9</w:t>
      </w:r>
      <w:r w:rsidR="00DE7B3F">
        <w:fldChar w:fldCharType="end"/>
      </w:r>
      <w:r w:rsidR="00DE7B3F">
        <w:t xml:space="preserve"> a.) . En 2013, Kirk </w:t>
      </w:r>
      <w:r w:rsidR="00DE7B3F">
        <w:fldChar w:fldCharType="begin"/>
      </w:r>
      <w:r w:rsidR="00DE7B3F">
        <w:instrText xml:space="preserve"> REF _Ref523089885 \r \h </w:instrText>
      </w:r>
      <w:r w:rsidR="00DE7B3F">
        <w:fldChar w:fldCharType="separate"/>
      </w:r>
      <w:r w:rsidR="00246D55">
        <w:t>[11]</w:t>
      </w:r>
      <w:r w:rsidR="00DE7B3F">
        <w:fldChar w:fldCharType="end"/>
      </w:r>
      <w:r w:rsidR="00DE7B3F" w:rsidRPr="007D20E7">
        <w:t xml:space="preserve"> a adopté une version </w:t>
      </w:r>
      <w:r w:rsidR="00DE7B3F">
        <w:t>du balourd critique constant (</w:t>
      </w:r>
      <w:r w:rsidR="00DE7B3F">
        <w:fldChar w:fldCharType="begin"/>
      </w:r>
      <w:r w:rsidR="00DE7B3F">
        <w:instrText xml:space="preserve"> REF _Ref523090168 \r \h </w:instrText>
      </w:r>
      <w:r w:rsidR="00DE7B3F">
        <w:fldChar w:fldCharType="separate"/>
      </w:r>
      <w:r w:rsidR="00246D55">
        <w:t>Eq.9</w:t>
      </w:r>
      <w:r w:rsidR="00DE7B3F">
        <w:fldChar w:fldCharType="end"/>
      </w:r>
      <w:r w:rsidR="00DE7B3F">
        <w:t xml:space="preserve"> b.) car</w:t>
      </w:r>
      <w:r w:rsidR="00DE7B3F" w:rsidRPr="007D20E7">
        <w:t xml:space="preserve"> </w:t>
      </w:r>
      <w:r w:rsidR="00DE7B3F">
        <w:t>les ingénieurs utilisant la version dépendant de la vitesse</w:t>
      </w:r>
      <w:r w:rsidR="00DE7B3F" w:rsidRPr="007D20E7">
        <w:t xml:space="preserve"> peuvent observer une vit</w:t>
      </w:r>
      <w:r w:rsidR="00DE7B3F">
        <w:t>esse critique au-delà de celle de vitesse maximum de fonctionnement</w:t>
      </w:r>
      <w:r w:rsidR="00DE7B3F" w:rsidRPr="007D20E7">
        <w:t xml:space="preserve">, même sans augmentation du </w:t>
      </w:r>
      <w:r w:rsidR="00DE7B3F">
        <w:t>balourd</w:t>
      </w:r>
      <w:r w:rsidR="00DE7B3F" w:rsidRPr="007D20E7">
        <w:t xml:space="preserve"> thermique.</w:t>
      </w:r>
      <w:r w:rsidR="00DE7B3F">
        <w:t xml:space="preserve"> Cette valeur du balourd critique prédéfini a été </w:t>
      </w:r>
      <w:r w:rsidR="00E53E9E">
        <w:t>optimisée</w:t>
      </w:r>
      <w:r w:rsidR="00DE7B3F">
        <w:t xml:space="preserve"> en se basant sur plusieurs cas d’études de sorte que la</w:t>
      </w:r>
      <w:r w:rsidR="00DE7B3F" w:rsidRPr="007D20E7">
        <w:t xml:space="preserve"> vitesse d’apparition de l’instabilité ME prédite puisse être cohérente avec la vitesse de départ observée</w:t>
      </w:r>
      <w:r w:rsidR="00DE7B3F">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DE7B3F" w:rsidRPr="00191289" w14:paraId="3E750FCD" w14:textId="77777777" w:rsidTr="00FE1987">
        <w:trPr>
          <w:trHeight w:val="635"/>
          <w:jc w:val="center"/>
        </w:trPr>
        <w:tc>
          <w:tcPr>
            <w:tcW w:w="7214" w:type="dxa"/>
            <w:vAlign w:val="center"/>
          </w:tcPr>
          <w:p w14:paraId="4FA22746" w14:textId="77777777" w:rsidR="00DE7B3F" w:rsidRPr="00B36CDC" w:rsidRDefault="00FE1987" w:rsidP="00FE1987">
            <w:pPr>
              <w:spacing w:before="120" w:after="120"/>
              <w:jc w:val="center"/>
              <w:rPr>
                <w:rFonts w:eastAsia="SimSun"/>
                <w:i/>
                <w:sz w:val="24"/>
              </w:rPr>
            </w:pPr>
            <m:oMathPara>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critique</m:t>
                    </m:r>
                  </m:sub>
                </m:sSub>
                <m:r>
                  <w:rPr>
                    <w:rFonts w:ascii="Cambria Math" w:hAnsi="Cambria Math"/>
                  </w:rPr>
                  <m:t xml:space="preserve"> =</m:t>
                </m:r>
                <m:f>
                  <m:fPr>
                    <m:ctrlPr>
                      <w:rPr>
                        <w:rFonts w:ascii="Cambria Math" w:hAnsi="Cambria Math"/>
                        <w:i/>
                      </w:rPr>
                    </m:ctrlPr>
                  </m:fPr>
                  <m:num>
                    <m:r>
                      <w:rPr>
                        <w:rFonts w:ascii="Cambria Math" w:hAnsi="Cambria Math"/>
                      </w:rPr>
                      <m:t>0.15</m:t>
                    </m:r>
                    <m:r>
                      <w:rPr>
                        <w:rFonts w:ascii="Cambria Math" w:hAnsi="Cambria Math" w:cs="Cambria Math"/>
                      </w:rPr>
                      <m:t>W</m:t>
                    </m:r>
                  </m:num>
                  <m:den>
                    <m:sSup>
                      <m:sSupPr>
                        <m:ctrlPr>
                          <w:rPr>
                            <w:rFonts w:ascii="Cambria Math" w:hAnsi="Cambria Math" w:cs="Cambria Math"/>
                            <w:i/>
                          </w:rPr>
                        </m:ctrlPr>
                      </m:sSupPr>
                      <m:e>
                        <m:r>
                          <w:rPr>
                            <w:rFonts w:ascii="Cambria Math" w:hAnsi="Cambria Math" w:cs="Cambria Math"/>
                          </w:rPr>
                          <m:t>ω</m:t>
                        </m:r>
                      </m:e>
                      <m:sup>
                        <m:r>
                          <w:rPr>
                            <w:rFonts w:ascii="Cambria Math" w:hAnsi="Cambria Math" w:cs="Cambria Math"/>
                          </w:rPr>
                          <m:t>2</m:t>
                        </m:r>
                      </m:sup>
                    </m:sSup>
                  </m:den>
                </m:f>
                <m:r>
                  <w:rPr>
                    <w:rFonts w:ascii="Cambria Math" w:eastAsia="SimSun" w:hAnsi="Cambria Math"/>
                  </w:rPr>
                  <m:t xml:space="preserve">     </m:t>
                </m:r>
                <m:r>
                  <w:rPr>
                    <w:rFonts w:ascii="Cambria Math" w:eastAsia="SimSun" w:hAnsi="Cambria Math"/>
                    <w:sz w:val="24"/>
                  </w:rPr>
                  <m:t>(</m:t>
                </m:r>
                <m:r>
                  <w:rPr>
                    <w:rFonts w:ascii="Cambria Math" w:eastAsia="SimSun" w:hAnsi="Cambria Math"/>
                    <w:sz w:val="24"/>
                    <w:lang w:val="en-US"/>
                  </w:rPr>
                  <m:t>a</m:t>
                </m:r>
                <m:r>
                  <w:rPr>
                    <w:rFonts w:ascii="Cambria Math" w:eastAsia="SimSun" w:hAnsi="Cambria Math"/>
                    <w:sz w:val="24"/>
                  </w:rPr>
                  <m:t>)</m:t>
                </m:r>
                <m:r>
                  <m:rPr>
                    <m:sty m:val="p"/>
                  </m:rPr>
                  <w:rPr>
                    <w:rFonts w:eastAsia="SimSun"/>
                    <w:sz w:val="24"/>
                  </w:rPr>
                  <w:br/>
                </m:r>
              </m:oMath>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critique</m:t>
                    </m:r>
                  </m:sub>
                </m:sSub>
                <m:r>
                  <w:rPr>
                    <w:rFonts w:ascii="Cambria Math" w:hAnsi="Cambria Math"/>
                  </w:rPr>
                  <m:t xml:space="preserve"> =</m:t>
                </m:r>
                <m:f>
                  <m:fPr>
                    <m:ctrlPr>
                      <w:rPr>
                        <w:rFonts w:ascii="Cambria Math" w:hAnsi="Cambria Math"/>
                        <w:i/>
                      </w:rPr>
                    </m:ctrlPr>
                  </m:fPr>
                  <m:num>
                    <m:r>
                      <w:rPr>
                        <w:rFonts w:ascii="Cambria Math" w:hAnsi="Cambria Math"/>
                      </w:rPr>
                      <m:t>0.15</m:t>
                    </m:r>
                    <m:r>
                      <w:rPr>
                        <w:rFonts w:ascii="Cambria Math" w:hAnsi="Cambria Math" w:cs="Cambria Math"/>
                      </w:rPr>
                      <m:t>W</m:t>
                    </m:r>
                  </m:num>
                  <m:den>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max</m:t>
                            </m:r>
                          </m:sub>
                        </m:sSub>
                        <m:r>
                          <w:rPr>
                            <w:rFonts w:ascii="Cambria Math" w:hAnsi="Cambria Math" w:cs="Cambria Math"/>
                          </w:rPr>
                          <m:t xml:space="preserve"> </m:t>
                        </m:r>
                      </m:e>
                      <m:sup>
                        <m:r>
                          <w:rPr>
                            <w:rFonts w:ascii="Cambria Math" w:hAnsi="Cambria Math" w:cs="Cambria Math"/>
                          </w:rPr>
                          <m:t>2</m:t>
                        </m:r>
                      </m:sup>
                    </m:sSup>
                  </m:den>
                </m:f>
                <m:r>
                  <w:rPr>
                    <w:rFonts w:ascii="Cambria Math" w:eastAsia="SimSun" w:hAnsi="Cambria Math"/>
                  </w:rPr>
                  <m:t xml:space="preserve">     </m:t>
                </m:r>
                <m:r>
                  <w:rPr>
                    <w:rFonts w:ascii="Cambria Math" w:eastAsia="SimSun" w:hAnsi="Cambria Math"/>
                    <w:sz w:val="24"/>
                  </w:rPr>
                  <m:t>(</m:t>
                </m:r>
                <m:r>
                  <w:rPr>
                    <w:rFonts w:ascii="Cambria Math" w:eastAsia="SimSun" w:hAnsi="Cambria Math"/>
                    <w:sz w:val="24"/>
                    <w:lang w:val="en-US"/>
                  </w:rPr>
                  <m:t>b</m:t>
                </m:r>
                <m:r>
                  <w:rPr>
                    <w:rFonts w:ascii="Cambria Math" w:eastAsia="SimSun" w:hAnsi="Cambria Math"/>
                    <w:sz w:val="24"/>
                  </w:rPr>
                  <m:t>)</m:t>
                </m:r>
              </m:oMath>
            </m:oMathPara>
          </w:p>
        </w:tc>
        <w:tc>
          <w:tcPr>
            <w:tcW w:w="1092" w:type="dxa"/>
            <w:vAlign w:val="center"/>
          </w:tcPr>
          <w:p w14:paraId="1AC97AB4" w14:textId="77777777" w:rsidR="00DE7B3F" w:rsidRPr="00191289" w:rsidRDefault="00DE7B3F" w:rsidP="00FE1987">
            <w:pPr>
              <w:pStyle w:val="Lgende"/>
              <w:keepNext/>
              <w:numPr>
                <w:ilvl w:val="0"/>
                <w:numId w:val="6"/>
              </w:numPr>
              <w:spacing w:before="120" w:after="120"/>
              <w:jc w:val="both"/>
              <w:rPr>
                <w:rFonts w:ascii="Times New Roman" w:eastAsia="Times New Roman" w:hAnsi="Times New Roman"/>
                <w:b/>
                <w:iCs w:val="0"/>
                <w:color w:val="auto"/>
                <w:sz w:val="22"/>
                <w:szCs w:val="22"/>
                <w:lang w:eastAsia="fr-FR"/>
              </w:rPr>
            </w:pPr>
            <w:bookmarkStart w:id="8" w:name="_Ref523090168"/>
            <w:r w:rsidRPr="00191289">
              <w:rPr>
                <w:rFonts w:ascii="Times New Roman" w:eastAsia="Times New Roman" w:hAnsi="Times New Roman"/>
                <w:b/>
                <w:iCs w:val="0"/>
                <w:color w:val="auto"/>
                <w:sz w:val="22"/>
                <w:szCs w:val="22"/>
                <w:lang w:eastAsia="fr-FR"/>
              </w:rPr>
              <w:t xml:space="preserve"> </w:t>
            </w:r>
            <w:bookmarkEnd w:id="8"/>
          </w:p>
        </w:tc>
      </w:tr>
    </w:tbl>
    <w:p w14:paraId="5B9A75B2" w14:textId="77777777" w:rsidR="00DE7B3F" w:rsidRDefault="00DE7B3F" w:rsidP="00DE7B3F"/>
    <w:p w14:paraId="54210357" w14:textId="77777777" w:rsidR="00DE7B3F" w:rsidRDefault="00DE7B3F" w:rsidP="00675419"/>
    <w:p w14:paraId="746B23D1" w14:textId="77777777" w:rsidR="00DE7B3F" w:rsidRDefault="00DE7B3F" w:rsidP="00675419"/>
    <w:p w14:paraId="2BC02F26" w14:textId="77777777" w:rsidR="00DE7B3F" w:rsidRDefault="00DE7B3F" w:rsidP="00675419"/>
    <w:p w14:paraId="0D1D3B7D" w14:textId="0D4C5009" w:rsidR="007107A8" w:rsidRDefault="00675419" w:rsidP="006A6D50">
      <w:r w:rsidRPr="00A22718">
        <w:lastRenderedPageBreak/>
        <w:t xml:space="preserve">En utilisant le modèle établi précédemment, Kirk et Balbahadur </w:t>
      </w:r>
      <w:r w:rsidRPr="00A22718">
        <w:rPr>
          <w:b/>
        </w:rPr>
        <w:fldChar w:fldCharType="begin"/>
      </w:r>
      <w:r w:rsidRPr="00A22718">
        <w:rPr>
          <w:b/>
        </w:rPr>
        <w:instrText xml:space="preserve"> REF _Ref444181446 \r \h  \* MERGEFORMAT </w:instrText>
      </w:r>
      <w:r w:rsidRPr="00A22718">
        <w:rPr>
          <w:b/>
        </w:rPr>
      </w:r>
      <w:r w:rsidRPr="00A22718">
        <w:rPr>
          <w:b/>
        </w:rPr>
        <w:fldChar w:fldCharType="separate"/>
      </w:r>
      <w:r w:rsidR="00246D55">
        <w:rPr>
          <w:b/>
        </w:rPr>
        <w:t>[9]</w:t>
      </w:r>
      <w:r w:rsidRPr="00A22718">
        <w:rPr>
          <w:b/>
        </w:rPr>
        <w:fldChar w:fldCharType="end"/>
      </w:r>
      <w:r w:rsidRPr="00A22718">
        <w:t xml:space="preserve"> ont réalisé des études de cas avec le palier circulaire et le palier à patins oscillants. Ils ont repris les cas classiques de l’effet Morton rencontrés dans l’industrie tel que le rotor d</w:t>
      </w:r>
      <w:r>
        <w:t>e</w:t>
      </w:r>
      <w:r w:rsidRPr="00A22718">
        <w:t xml:space="preserve"> l’article de Keogh et Morton </w:t>
      </w:r>
      <w:r w:rsidR="00AF0B35" w:rsidRPr="00AF0B35">
        <w:rPr>
          <w:b/>
        </w:rPr>
        <w:fldChar w:fldCharType="begin"/>
      </w:r>
      <w:r w:rsidR="00AF0B35" w:rsidRPr="00AF0B35">
        <w:rPr>
          <w:b/>
        </w:rPr>
        <w:instrText xml:space="preserve"> REF _Ref444178598 \r \h </w:instrText>
      </w:r>
      <w:r w:rsidR="00AF0B35">
        <w:rPr>
          <w:b/>
        </w:rPr>
        <w:instrText xml:space="preserve"> \* MERGEFORMAT </w:instrText>
      </w:r>
      <w:r w:rsidR="00AF0B35" w:rsidRPr="00AF0B35">
        <w:rPr>
          <w:b/>
        </w:rPr>
      </w:r>
      <w:r w:rsidR="00AF0B35" w:rsidRPr="00AF0B35">
        <w:rPr>
          <w:b/>
        </w:rPr>
        <w:fldChar w:fldCharType="separate"/>
      </w:r>
      <w:r w:rsidR="00246D55">
        <w:rPr>
          <w:b/>
        </w:rPr>
        <w:t>[1]</w:t>
      </w:r>
      <w:r w:rsidR="00AF0B35" w:rsidRPr="00AF0B35">
        <w:rPr>
          <w:b/>
        </w:rPr>
        <w:fldChar w:fldCharType="end"/>
      </w:r>
      <w:r w:rsidRPr="00A22718">
        <w:t>, le compresseur de gaz présenté par de Jongh et Morton</w:t>
      </w:r>
      <w:r w:rsidR="00F353DE">
        <w:t xml:space="preserve"> </w:t>
      </w:r>
      <w:r w:rsidR="00AF0B35" w:rsidRPr="00AF0B35">
        <w:rPr>
          <w:b/>
        </w:rPr>
        <w:fldChar w:fldCharType="begin"/>
      </w:r>
      <w:r w:rsidR="00AF0B35" w:rsidRPr="00AF0B35">
        <w:rPr>
          <w:b/>
        </w:rPr>
        <w:instrText xml:space="preserve"> REF _Ref523082734 \r \h </w:instrText>
      </w:r>
      <w:r w:rsidR="00AF0B35">
        <w:rPr>
          <w:b/>
        </w:rPr>
        <w:instrText xml:space="preserve"> \* MERGEFORMAT </w:instrText>
      </w:r>
      <w:r w:rsidR="00AF0B35" w:rsidRPr="00AF0B35">
        <w:rPr>
          <w:b/>
        </w:rPr>
      </w:r>
      <w:r w:rsidR="00AF0B35" w:rsidRPr="00AF0B35">
        <w:rPr>
          <w:b/>
        </w:rPr>
        <w:fldChar w:fldCharType="separate"/>
      </w:r>
      <w:r w:rsidR="00246D55">
        <w:rPr>
          <w:b/>
        </w:rPr>
        <w:t>[2]</w:t>
      </w:r>
      <w:r w:rsidR="00AF0B35" w:rsidRPr="00AF0B35">
        <w:rPr>
          <w:b/>
        </w:rPr>
        <w:fldChar w:fldCharType="end"/>
      </w:r>
      <w:r w:rsidR="00AF0B35">
        <w:t xml:space="preserve"> </w:t>
      </w:r>
      <w:r w:rsidRPr="00A22718">
        <w:t>et le compresseur de pipe</w:t>
      </w:r>
      <w:r>
        <w:t>line rencontré par de Jongh et Van D</w:t>
      </w:r>
      <w:r w:rsidRPr="00A22718">
        <w:t>er Hoeven</w:t>
      </w:r>
      <w:r w:rsidR="00942AAC">
        <w:t xml:space="preserve"> </w:t>
      </w:r>
      <w:r w:rsidR="00942AAC" w:rsidRPr="00942AAC">
        <w:rPr>
          <w:b/>
        </w:rPr>
        <w:fldChar w:fldCharType="begin"/>
      </w:r>
      <w:r w:rsidR="00942AAC" w:rsidRPr="00942AAC">
        <w:rPr>
          <w:b/>
        </w:rPr>
        <w:instrText xml:space="preserve"> REF _Ref523083697 \r \h </w:instrText>
      </w:r>
      <w:r w:rsidR="00942AAC">
        <w:rPr>
          <w:b/>
        </w:rPr>
        <w:instrText xml:space="preserve"> \* MERGEFORMAT </w:instrText>
      </w:r>
      <w:r w:rsidR="00942AAC" w:rsidRPr="00942AAC">
        <w:rPr>
          <w:b/>
        </w:rPr>
      </w:r>
      <w:r w:rsidR="00942AAC" w:rsidRPr="00942AAC">
        <w:rPr>
          <w:b/>
        </w:rPr>
        <w:fldChar w:fldCharType="separate"/>
      </w:r>
      <w:r w:rsidR="00246D55">
        <w:rPr>
          <w:b/>
        </w:rPr>
        <w:t>[4]</w:t>
      </w:r>
      <w:r w:rsidR="00942AAC" w:rsidRPr="00942AAC">
        <w:rPr>
          <w:b/>
        </w:rPr>
        <w:fldChar w:fldCharType="end"/>
      </w:r>
      <w:r w:rsidRPr="00A22718">
        <w:t xml:space="preserve">. Les comparaisons sont réalisées entre les résultats de simulation obtenus par ce modèle et les résultats expérimentaux cités dans les publications. D’une manière générale, ce modèle </w:t>
      </w:r>
      <w:r>
        <w:t>permet d’avoir</w:t>
      </w:r>
      <w:r w:rsidRPr="00A22718">
        <w:t xml:space="preserve"> une bonne cohérence avec les résultats expérimentaux. Ils concluent que l’effet Morton a une plus grande chance d’appara</w:t>
      </w:r>
      <w:r>
        <w:t>î</w:t>
      </w:r>
      <w:r w:rsidRPr="00A22718">
        <w:t>tre quand l’orbite de vibration est centrée, circulaire et</w:t>
      </w:r>
      <w:r>
        <w:t xml:space="preserve"> que</w:t>
      </w:r>
      <w:r w:rsidRPr="00A22718">
        <w:t xml:space="preserve"> l’amplitude de cette orbite est grande. La réduction de phase entre le balourd thermique et le balourd mécanique pourrait également augmenter la possibilité d’apparition du phénomène. </w:t>
      </w:r>
    </w:p>
    <w:p w14:paraId="75612C55" w14:textId="77777777" w:rsidR="007107A8" w:rsidRDefault="007107A8" w:rsidP="007D20E7"/>
    <w:p w14:paraId="56C53D55" w14:textId="310707D8" w:rsidR="00E160FB" w:rsidRDefault="00E160FB" w:rsidP="009D35C5">
      <w:pPr>
        <w:pStyle w:val="Titre2"/>
        <w:tabs>
          <w:tab w:val="clear" w:pos="0"/>
        </w:tabs>
        <w:ind w:left="567" w:hanging="567"/>
      </w:pPr>
      <w:r w:rsidRPr="00E160FB">
        <w:t>Méthode</w:t>
      </w:r>
      <w:r>
        <w:t>s</w:t>
      </w:r>
      <w:r w:rsidRPr="00E160FB">
        <w:t xml:space="preserve"> du rapport thermique</w:t>
      </w:r>
    </w:p>
    <w:p w14:paraId="6E809378" w14:textId="2242C8A7" w:rsidR="00E160FB" w:rsidRDefault="00E160FB" w:rsidP="003724EB"/>
    <w:p w14:paraId="20CA0EA1" w14:textId="47805A4E" w:rsidR="00606480" w:rsidRDefault="00606480" w:rsidP="003724EB">
      <w:r w:rsidRPr="00606480">
        <w:t>La méthode du rapport thermique a été introduite par Schmied</w:t>
      </w:r>
      <w:r w:rsidR="00735F31">
        <w:t xml:space="preserve"> </w:t>
      </w:r>
      <w:r w:rsidR="008D5D0E">
        <w:rPr>
          <w:lang w:val="en-US"/>
        </w:rPr>
        <w:fldChar w:fldCharType="begin"/>
      </w:r>
      <w:r w:rsidR="008D5D0E">
        <w:instrText xml:space="preserve"> REF _Ref523091267 \r \h </w:instrText>
      </w:r>
      <w:r w:rsidR="008D5D0E">
        <w:rPr>
          <w:lang w:val="en-US"/>
        </w:rPr>
      </w:r>
      <w:r w:rsidR="008D5D0E">
        <w:rPr>
          <w:lang w:val="en-US"/>
        </w:rPr>
        <w:fldChar w:fldCharType="separate"/>
      </w:r>
      <w:r w:rsidR="008D5D0E">
        <w:t>[</w:t>
      </w:r>
      <w:r w:rsidR="008D5D0E">
        <w:t>1</w:t>
      </w:r>
      <w:r w:rsidR="008D5D0E">
        <w:t>3]</w:t>
      </w:r>
      <w:r w:rsidR="008D5D0E">
        <w:rPr>
          <w:lang w:val="en-US"/>
        </w:rPr>
        <w:fldChar w:fldCharType="end"/>
      </w:r>
      <w:r w:rsidR="008D5D0E" w:rsidRPr="008D5D0E">
        <w:t xml:space="preserve"> </w:t>
      </w:r>
      <w:r w:rsidR="003A3710" w:rsidRPr="003A3710">
        <w:rPr>
          <w:b/>
        </w:rPr>
        <w:t xml:space="preserve">en </w:t>
      </w:r>
      <w:r w:rsidR="00DA4E4E">
        <w:rPr>
          <w:b/>
        </w:rPr>
        <w:t>1987</w:t>
      </w:r>
      <w:r w:rsidRPr="00606480">
        <w:t xml:space="preserve"> pour calculer la stabilité </w:t>
      </w:r>
      <w:r w:rsidR="00F01B6F">
        <w:t xml:space="preserve">vibratoire déduit de </w:t>
      </w:r>
      <w:r w:rsidR="001449BF">
        <w:t>la distribution non uniforme de la tem</w:t>
      </w:r>
      <w:r w:rsidR="00F0091F">
        <w:t xml:space="preserve">pérature à la surface du rotor sans distinguer les sources de l’échauffement du rotor, i.e. le contact entre le stator et le rotor ou le cisaillement visqueux de </w:t>
      </w:r>
      <w:r w:rsidR="005307E2">
        <w:t>lubrifiant</w:t>
      </w:r>
      <w:r w:rsidR="00CB2DD5">
        <w:t xml:space="preserve">. </w:t>
      </w:r>
      <w:r w:rsidR="001449BF">
        <w:t>Cette méthode s’est basée sur le</w:t>
      </w:r>
      <w:r w:rsidRPr="00606480">
        <w:t xml:space="preserve"> modèle </w:t>
      </w:r>
      <w:r w:rsidR="001449BF">
        <w:t xml:space="preserve">du point chaud proposé par </w:t>
      </w:r>
      <w:r w:rsidR="005A571D">
        <w:t xml:space="preserve">Kellenberger </w:t>
      </w:r>
      <w:r w:rsidR="005A571D">
        <w:fldChar w:fldCharType="begin"/>
      </w:r>
      <w:r w:rsidR="005A571D">
        <w:instrText xml:space="preserve"> REF _Ref523091105 \r \h </w:instrText>
      </w:r>
      <w:r w:rsidR="005A571D">
        <w:fldChar w:fldCharType="separate"/>
      </w:r>
      <w:r w:rsidR="00246D55">
        <w:t>[14]</w:t>
      </w:r>
      <w:r w:rsidR="005A571D">
        <w:fldChar w:fldCharType="end"/>
      </w:r>
      <w:r w:rsidR="005A571D">
        <w:t xml:space="preserve"> qui </w:t>
      </w:r>
      <w:r w:rsidRPr="00606480">
        <w:t xml:space="preserve">a été initialement conçue pour analyser les vibrations spirale induites par le </w:t>
      </w:r>
      <w:r w:rsidR="007C250C">
        <w:t>contact</w:t>
      </w:r>
      <w:r w:rsidRPr="00606480">
        <w:t xml:space="preserve"> ent</w:t>
      </w:r>
      <w:r w:rsidR="00C712BD">
        <w:t xml:space="preserve">re les rotors et les stators </w:t>
      </w:r>
      <w:r w:rsidR="00C712BD">
        <w:fldChar w:fldCharType="begin"/>
      </w:r>
      <w:r w:rsidR="00C712BD">
        <w:instrText xml:space="preserve"> REF _Ref523091267 \r \h </w:instrText>
      </w:r>
      <w:r w:rsidR="00C712BD">
        <w:fldChar w:fldCharType="separate"/>
      </w:r>
      <w:r w:rsidR="00246D55">
        <w:t>[13]</w:t>
      </w:r>
      <w:r w:rsidR="00C712BD">
        <w:fldChar w:fldCharType="end"/>
      </w:r>
      <w:r w:rsidR="00977B31">
        <w:t>. Malgré la source de chaleur différente, cette méthode</w:t>
      </w:r>
      <w:r w:rsidRPr="00606480">
        <w:t xml:space="preserve"> pourrait également</w:t>
      </w:r>
      <w:r w:rsidR="00977B31">
        <w:t xml:space="preserve"> être utilisée pour l’analyse de l’effet Morton</w:t>
      </w:r>
      <w:r w:rsidRPr="00606480">
        <w:t>.</w:t>
      </w:r>
    </w:p>
    <w:p w14:paraId="40280F88" w14:textId="77777777" w:rsidR="00D00B5E" w:rsidRDefault="00D00B5E" w:rsidP="003724EB"/>
    <w:p w14:paraId="055BFEA3" w14:textId="27287002" w:rsidR="00601D17" w:rsidRDefault="00681B56" w:rsidP="003724EB">
      <w:r w:rsidRPr="00681B56">
        <w:t>La modélisation du phénomène des points chauds était basée sur</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351152" w:rsidRPr="005708CD" w14:paraId="47D0B067" w14:textId="77777777" w:rsidTr="00FE1987">
        <w:trPr>
          <w:trHeight w:val="635"/>
          <w:jc w:val="center"/>
        </w:trPr>
        <w:tc>
          <w:tcPr>
            <w:tcW w:w="7214" w:type="dxa"/>
            <w:vAlign w:val="center"/>
          </w:tcPr>
          <w:p w14:paraId="26CDE732" w14:textId="239E1E57" w:rsidR="00351152" w:rsidRPr="007C7D68" w:rsidRDefault="00351152" w:rsidP="00FE1987">
            <w:pPr>
              <w:spacing w:before="120" w:after="120"/>
              <w:jc w:val="center"/>
              <w:rPr>
                <w:rFonts w:eastAsia="SimSun"/>
                <w:i/>
              </w:rPr>
            </w:pPr>
            <m:oMath>
              <m:r>
                <w:rPr>
                  <w:rFonts w:ascii="Cambria Math" w:hAnsi="Cambria Math" w:cs="Cambria Math"/>
                </w:rPr>
                <m:t>x</m:t>
              </m:r>
              <m:r>
                <w:rPr>
                  <w:rFonts w:ascii="Cambria Math" w:hAnsi="Cambria Math" w:cs="Calibri"/>
                  <w:lang w:val="en-US"/>
                </w:rPr>
                <m:t>̇</m:t>
              </m:r>
              <m:r>
                <w:rPr>
                  <w:rFonts w:ascii="Cambria Math" w:hAnsi="Cambria Math" w:cs="Cambria Math"/>
                </w:rPr>
                <m:t>B</m:t>
              </m:r>
              <m:r>
                <w:rPr>
                  <w:rFonts w:ascii="Cambria Math" w:hAnsi="Cambria Math"/>
                  <w:lang w:val="en-US"/>
                </w:rPr>
                <m:t xml:space="preserve"> = </m:t>
              </m:r>
              <m:r>
                <w:rPr>
                  <w:rFonts w:ascii="Cambria Math" w:hAnsi="Cambria Math" w:cs="Cambria Math"/>
                </w:rPr>
                <m:t>p</m:t>
              </m:r>
              <m:r>
                <w:rPr>
                  <w:rFonts w:ascii="Cambria Math" w:hAnsi="Cambria Math"/>
                </w:rPr>
                <m:t>Ω</m:t>
              </m:r>
              <m:r>
                <w:rPr>
                  <w:rFonts w:ascii="Cambria Math" w:hAnsi="Cambria Math" w:cs="Cambria Math"/>
                </w:rPr>
                <m:t>x</m:t>
              </m:r>
              <m:r>
                <w:rPr>
                  <w:rFonts w:ascii="Cambria Math" w:hAnsi="Cambria Math"/>
                  <w:lang w:val="en-US"/>
                </w:rPr>
                <m:t xml:space="preserve"> -</m:t>
              </m:r>
              <m:r>
                <w:rPr>
                  <w:rFonts w:ascii="Cambria Math" w:hAnsi="Cambria Math" w:cs="Cambria Math"/>
                </w:rPr>
                <m:t>qxB</m:t>
              </m:r>
            </m:oMath>
            <w:r w:rsidRPr="009D35C5">
              <w:rPr>
                <w:lang w:val="en-US"/>
              </w:rPr>
              <w:t xml:space="preserve"> </w:t>
            </w:r>
            <w:r>
              <w:rPr>
                <w:rFonts w:eastAsia="SimSun"/>
                <w:i/>
                <w:sz w:val="24"/>
              </w:rPr>
              <w:t xml:space="preserve"> </w:t>
            </w:r>
          </w:p>
        </w:tc>
        <w:tc>
          <w:tcPr>
            <w:tcW w:w="1092" w:type="dxa"/>
            <w:vAlign w:val="center"/>
          </w:tcPr>
          <w:p w14:paraId="442B2FAC" w14:textId="77777777" w:rsidR="00351152" w:rsidRPr="005708CD" w:rsidRDefault="00351152" w:rsidP="00FE1987">
            <w:pPr>
              <w:pStyle w:val="Lgende"/>
              <w:keepNext/>
              <w:numPr>
                <w:ilvl w:val="0"/>
                <w:numId w:val="6"/>
              </w:numPr>
              <w:spacing w:before="120" w:after="120"/>
              <w:jc w:val="both"/>
              <w:rPr>
                <w:rFonts w:ascii="Times New Roman" w:eastAsia="Times New Roman" w:hAnsi="Times New Roman"/>
                <w:b/>
                <w:iCs w:val="0"/>
                <w:color w:val="auto"/>
                <w:sz w:val="22"/>
                <w:szCs w:val="22"/>
                <w:lang w:eastAsia="fr-FR"/>
              </w:rPr>
            </w:pPr>
            <w:r w:rsidRPr="005708CD">
              <w:rPr>
                <w:rFonts w:ascii="Times New Roman" w:eastAsia="Times New Roman" w:hAnsi="Times New Roman"/>
                <w:b/>
                <w:iCs w:val="0"/>
                <w:color w:val="auto"/>
                <w:sz w:val="22"/>
                <w:szCs w:val="22"/>
                <w:lang w:eastAsia="fr-FR"/>
              </w:rPr>
              <w:t xml:space="preserve"> </w:t>
            </w:r>
          </w:p>
        </w:tc>
      </w:tr>
    </w:tbl>
    <w:p w14:paraId="6CFF912E" w14:textId="6A99F69D" w:rsidR="002C0A36" w:rsidRDefault="004928D9" w:rsidP="00DC63A7">
      <m:oMath>
        <m:r>
          <w:rPr>
            <w:rFonts w:ascii="Cambria Math" w:hAnsi="Cambria Math"/>
          </w:rPr>
          <m:t>O</m:t>
        </m:r>
        <m:r>
          <w:rPr>
            <w:rFonts w:ascii="Cambria Math" w:hAnsi="Cambria Math"/>
          </w:rPr>
          <m:t xml:space="preserve">ù </m:t>
        </m:r>
      </m:oMath>
      <w:r>
        <w:t xml:space="preserve"> </w:t>
      </w:r>
    </w:p>
    <w:p w14:paraId="556556B7" w14:textId="36C68AE0" w:rsidR="00AB4F3E" w:rsidRDefault="002C0A36" w:rsidP="00DC63A7">
      <m:oMath>
        <m:r>
          <w:rPr>
            <w:rFonts w:ascii="Cambria Math" w:hAnsi="Cambria Math"/>
          </w:rPr>
          <m:t>x:</m:t>
        </m:r>
        <m:r>
          <w:rPr>
            <w:rFonts w:ascii="Cambria Math" w:hAnsi="Cambria Math"/>
          </w:rPr>
          <m:t>déplacement du rotor au niveau du point chaud</m:t>
        </m:r>
        <m:r>
          <w:rPr>
            <w:rFonts w:ascii="Cambria Math" w:hAnsi="Cambria Math"/>
          </w:rPr>
          <m:t xml:space="preserve"> déduit par la dilatation thermique</m:t>
        </m:r>
      </m:oMath>
      <w:r>
        <w:t xml:space="preserve"> </w:t>
      </w:r>
    </w:p>
    <w:p w14:paraId="091A0AD1" w14:textId="5C3D7FF8" w:rsidR="002C0A36" w:rsidRDefault="00AB4F3E" w:rsidP="00DC63A7">
      <m:oMath>
        <m:r>
          <w:rPr>
            <w:rFonts w:ascii="Cambria Math" w:hAnsi="Cambria Math" w:cs="Cambria Math"/>
          </w:rPr>
          <m:t>B:</m:t>
        </m:r>
        <m:r>
          <w:rPr>
            <w:rFonts w:ascii="Cambria Math" w:hAnsi="Cambria Math" w:cs="Cambria Math"/>
          </w:rPr>
          <m:t xml:space="preserve"> </m:t>
        </m:r>
        <m:r>
          <w:rPr>
            <w:rFonts w:ascii="Cambria Math" w:hAnsi="Cambria Math" w:cs="Cambria Math"/>
          </w:rPr>
          <m:t>tenseur de déformation thermique</m:t>
        </m:r>
      </m:oMath>
      <w:r>
        <w:t xml:space="preserve"> </w:t>
      </w:r>
      <w:r w:rsidR="002C0A36">
        <w:br/>
      </w:r>
      <m:oMath>
        <m:r>
          <w:rPr>
            <w:rFonts w:ascii="Cambria Math" w:hAnsi="Cambria Math" w:cs="Cambria Math"/>
          </w:rPr>
          <m:t>p</m:t>
        </m:r>
        <m:r>
          <w:rPr>
            <w:rFonts w:ascii="Cambria Math" w:hAnsi="Cambria Math"/>
          </w:rPr>
          <m:t>Ω</m:t>
        </m:r>
        <m:r>
          <w:rPr>
            <w:rFonts w:ascii="Cambria Math" w:hAnsi="Cambria Math" w:cs="Cambria Math"/>
          </w:rPr>
          <m:t>x</m:t>
        </m:r>
        <m:r>
          <w:rPr>
            <w:rFonts w:ascii="Cambria Math" w:hAnsi="Cambria Math" w:cs="Cambria Math"/>
          </w:rPr>
          <m:t>:le terme de la chaleur générée</m:t>
        </m:r>
      </m:oMath>
      <w:r w:rsidR="00F6091F">
        <w:t xml:space="preserve"> </w:t>
      </w:r>
      <w:r w:rsidR="002C0A36">
        <w:br/>
      </w:r>
      <m:oMath>
        <m:r>
          <w:rPr>
            <w:rFonts w:ascii="Cambria Math" w:hAnsi="Cambria Math" w:cs="Cambria Math"/>
          </w:rPr>
          <m:t>qxB</m:t>
        </m:r>
        <m:r>
          <w:rPr>
            <w:rFonts w:ascii="Cambria Math" w:hAnsi="Cambria Math" w:cs="Cambria Math"/>
          </w:rPr>
          <m:t>:le terme de la chaleur dégagée</m:t>
        </m:r>
      </m:oMath>
      <w:r w:rsidR="002C0A36">
        <w:t xml:space="preserve"> </w:t>
      </w:r>
    </w:p>
    <w:p w14:paraId="20BA8BF4" w14:textId="16A03D71" w:rsidR="002A0835" w:rsidRDefault="002A0835" w:rsidP="00DC63A7">
      <m:oMath>
        <m:r>
          <w:rPr>
            <w:rFonts w:ascii="Cambria Math" w:hAnsi="Cambria Math"/>
          </w:rPr>
          <m:t xml:space="preserve">p et q </m:t>
        </m:r>
        <m:r>
          <w:rPr>
            <w:rFonts w:ascii="Cambria Math" w:hAnsi="Cambria Math"/>
          </w:rPr>
          <m:t xml:space="preserve">: </m:t>
        </m:r>
        <m:r>
          <w:rPr>
            <w:rFonts w:ascii="Cambria Math" w:hAnsi="Cambria Math"/>
          </w:rPr>
          <m:t xml:space="preserve">les </m:t>
        </m:r>
        <m:r>
          <w:rPr>
            <w:rFonts w:ascii="Cambria Math" w:hAnsi="Cambria Math"/>
          </w:rPr>
          <m:t>coefficients</m:t>
        </m:r>
        <m:r>
          <w:rPr>
            <w:rFonts w:ascii="Cambria Math" w:hAnsi="Cambria Math"/>
          </w:rPr>
          <m:t xml:space="preserve"> de proportionnalité</m:t>
        </m:r>
        <m:r>
          <w:rPr>
            <w:rFonts w:ascii="Cambria Math" w:hAnsi="Cambria Math"/>
          </w:rPr>
          <m:t xml:space="preserve"> pour la chaleur généré</m:t>
        </m:r>
        <m:r>
          <w:rPr>
            <w:rFonts w:ascii="Cambria Math" w:hAnsi="Cambria Math"/>
          </w:rPr>
          <m:t>e</m:t>
        </m:r>
        <m:r>
          <w:rPr>
            <w:rFonts w:ascii="Cambria Math" w:hAnsi="Cambria Math"/>
          </w:rPr>
          <m:t xml:space="preserve"> et chaleur dégagée</m:t>
        </m:r>
      </m:oMath>
      <w:r>
        <w:t xml:space="preserve"> </w:t>
      </w:r>
    </w:p>
    <w:p w14:paraId="6A705411" w14:textId="18AF3535" w:rsidR="002C0A36" w:rsidRDefault="002C0A36" w:rsidP="00DC63A7"/>
    <w:p w14:paraId="799065C0" w14:textId="75715598" w:rsidR="00F42540" w:rsidRDefault="006F147F" w:rsidP="00F42540">
      <w:r>
        <w:t xml:space="preserve">La chaleur générée dans le système est supposée proportionnelle à la vitesse de rotation </w:t>
      </w:r>
      <w:r w:rsidRPr="007A1102">
        <w:t>Ω</w:t>
      </w:r>
      <w:r>
        <w:t xml:space="preserve"> et à l’amplitude de vibration </w:t>
      </w:r>
      <m:oMath>
        <m:r>
          <w:rPr>
            <w:rFonts w:ascii="Cambria Math" w:hAnsi="Cambria Math"/>
          </w:rPr>
          <m:t>x</m:t>
        </m:r>
      </m:oMath>
      <w:r>
        <w:t xml:space="preserve"> à la position axiale du point chaud, alors que la chaleur dégagée est proportionnelle à la déformation </w:t>
      </w:r>
      <w:r w:rsidR="0033798E">
        <w:t>thermique</w:t>
      </w:r>
      <m:oMath>
        <m:r>
          <m:rPr>
            <m:sty m:val="p"/>
          </m:rPr>
          <w:rPr>
            <w:rFonts w:ascii="Cambria Math" w:hAnsi="Cambria Math"/>
          </w:rPr>
          <m:t xml:space="preserve"> </m:t>
        </m:r>
        <m:r>
          <w:rPr>
            <w:rFonts w:ascii="Cambria Math" w:hAnsi="Cambria Math" w:cs="Cambria Math"/>
          </w:rPr>
          <m:t>xB</m:t>
        </m:r>
      </m:oMath>
      <w:r w:rsidR="0033798E">
        <w:t>.</w:t>
      </w:r>
      <w:r w:rsidR="00267638" w:rsidRPr="00902D1A">
        <w:t xml:space="preserve"> </w:t>
      </w:r>
      <w:r w:rsidR="0033798E" w:rsidRPr="0033798E">
        <w:t>La valeur critique</w:t>
      </w:r>
      <w:r w:rsidR="0033798E">
        <w:t xml:space="preserve"> </w:t>
      </w:r>
      <w:r w:rsidR="002A0835">
        <w:t>de la stabilité était le rapport</w:t>
      </w:r>
      <w:r w:rsidR="001A1105">
        <w:t xml:space="preserve"> </w:t>
      </w:r>
      <w:r w:rsidR="002A0835">
        <w:t xml:space="preserve"> </w:t>
      </w:r>
      <m:oMath>
        <m:r>
          <w:rPr>
            <w:rFonts w:ascii="Cambria Math" w:hAnsi="Cambria Math" w:cs="Cambria Math"/>
          </w:rPr>
          <m:t>p</m:t>
        </m:r>
        <m:r>
          <w:rPr>
            <w:rFonts w:ascii="Cambria Math" w:hAnsi="Cambria Math"/>
          </w:rPr>
          <m:t>Ω/</m:t>
        </m:r>
        <m:r>
          <w:rPr>
            <w:rFonts w:ascii="Cambria Math" w:hAnsi="Cambria Math" w:cs="Cambria Math"/>
          </w:rPr>
          <m:t>q</m:t>
        </m:r>
      </m:oMath>
      <w:r w:rsidR="00902D1A" w:rsidRPr="00902D1A">
        <w:t>. Les coefficients de proportionnalité</w:t>
      </w:r>
      <w:r w:rsidR="00627C82">
        <w:t xml:space="preserve"> </w:t>
      </w:r>
      <m:oMath>
        <m:r>
          <w:rPr>
            <w:rFonts w:ascii="Cambria Math" w:hAnsi="Cambria Math"/>
          </w:rPr>
          <m:t>p</m:t>
        </m:r>
        <m:r>
          <m:rPr>
            <m:sty m:val="p"/>
          </m:rPr>
          <w:rPr>
            <w:rFonts w:ascii="Cambria Math" w:hAnsi="Cambria Math"/>
          </w:rPr>
          <m:t xml:space="preserve"> </m:t>
        </m:r>
      </m:oMath>
      <w:r w:rsidR="00627C82" w:rsidRPr="00627C82">
        <w:t>et</w:t>
      </w:r>
      <m:oMath>
        <m:r>
          <m:rPr>
            <m:sty m:val="p"/>
          </m:rPr>
          <w:rPr>
            <w:rFonts w:ascii="Cambria Math" w:hAnsi="Cambria Math"/>
          </w:rPr>
          <m:t xml:space="preserve"> </m:t>
        </m:r>
        <m:r>
          <w:rPr>
            <w:rFonts w:ascii="Cambria Math" w:hAnsi="Cambria Math"/>
          </w:rPr>
          <m:t>q</m:t>
        </m:r>
      </m:oMath>
      <w:r w:rsidR="00902D1A" w:rsidRPr="00902D1A">
        <w:t xml:space="preserve"> pour la chaleur générée et la chaleur dégagée devaient être calculés selon le mécanisme de l’échauffement du système.</w:t>
      </w:r>
      <w:r w:rsidR="006458A2">
        <w:t xml:space="preserve"> La méthode de calcul est détaillée en annexe de </w:t>
      </w:r>
      <w:r w:rsidR="006458A2" w:rsidRPr="006458A2">
        <w:rPr>
          <w:b/>
        </w:rPr>
        <w:fldChar w:fldCharType="begin"/>
      </w:r>
      <w:r w:rsidR="006458A2" w:rsidRPr="006458A2">
        <w:rPr>
          <w:b/>
        </w:rPr>
        <w:instrText xml:space="preserve"> REF _Ref523090891 \r \h </w:instrText>
      </w:r>
      <w:r w:rsidR="006458A2" w:rsidRPr="006458A2">
        <w:rPr>
          <w:b/>
        </w:rPr>
      </w:r>
      <w:r w:rsidR="006458A2">
        <w:rPr>
          <w:b/>
        </w:rPr>
        <w:instrText xml:space="preserve"> \* MERGEFORMAT </w:instrText>
      </w:r>
      <w:r w:rsidR="006458A2" w:rsidRPr="006458A2">
        <w:rPr>
          <w:b/>
        </w:rPr>
        <w:fldChar w:fldCharType="separate"/>
      </w:r>
      <w:r w:rsidR="006458A2" w:rsidRPr="006458A2">
        <w:rPr>
          <w:b/>
        </w:rPr>
        <w:t>[12]</w:t>
      </w:r>
      <w:r w:rsidR="006458A2" w:rsidRPr="006458A2">
        <w:rPr>
          <w:b/>
        </w:rPr>
        <w:fldChar w:fldCharType="end"/>
      </w:r>
      <w:r w:rsidR="00B46E40">
        <w:t xml:space="preserve">. </w:t>
      </w:r>
      <w:r w:rsidR="00F42540" w:rsidRPr="00DC63A7">
        <w:t>Si le rapport de la chaleur ajoutée à la chaleur éliminée était proche d</w:t>
      </w:r>
      <w:r w:rsidR="00F42540">
        <w:t>e la valeur critique de stabilité</w:t>
      </w:r>
      <w:r w:rsidR="00F42540" w:rsidRPr="00DC63A7">
        <w:t xml:space="preserve"> ou même au-dessus d</w:t>
      </w:r>
      <w:r w:rsidR="00F42540">
        <w:t>e cette valeur</w:t>
      </w:r>
      <w:r w:rsidR="00F42540" w:rsidRPr="00DC63A7">
        <w:t>, le rotor pourrait êt</w:t>
      </w:r>
      <w:r w:rsidR="00F42540">
        <w:t>re considéré comme sensible à l’effet Morton.</w:t>
      </w:r>
    </w:p>
    <w:p w14:paraId="6C43EE07" w14:textId="03F0A063" w:rsidR="00902D1A" w:rsidRPr="00902D1A" w:rsidRDefault="00902D1A" w:rsidP="00DC63A7">
      <w:pPr>
        <w:rPr>
          <w:rFonts w:ascii="Cambria Math" w:hAnsi="Cambria Math" w:cs="Cambria Math"/>
        </w:rPr>
      </w:pPr>
    </w:p>
    <w:p w14:paraId="1498E8E1" w14:textId="77777777" w:rsidR="00AA16BA" w:rsidRDefault="00AA16BA" w:rsidP="00DC63A7"/>
    <w:p w14:paraId="554E3775" w14:textId="7795D7BC" w:rsidR="008E2656" w:rsidRDefault="003372DD" w:rsidP="009D35C5">
      <w:pPr>
        <w:pStyle w:val="Titre2"/>
        <w:tabs>
          <w:tab w:val="clear" w:pos="0"/>
        </w:tabs>
        <w:ind w:left="567" w:hanging="567"/>
      </w:pPr>
      <w:r>
        <w:rPr>
          <w:rFonts w:hint="eastAsia"/>
        </w:rPr>
        <w:t>M</w:t>
      </w:r>
      <w:r w:rsidR="00E160FB">
        <w:t>éthodes</w:t>
      </w:r>
      <w:r w:rsidR="00C6377B">
        <w:t xml:space="preserve"> non-linéaire</w:t>
      </w:r>
      <w:r w:rsidR="00E160FB">
        <w:t xml:space="preserve"> </w:t>
      </w:r>
      <w:r w:rsidR="00C6377B">
        <w:t>en régime transitoire</w:t>
      </w:r>
      <w:r>
        <w:t xml:space="preserve"> </w:t>
      </w:r>
    </w:p>
    <w:p w14:paraId="4A824DA5" w14:textId="5CE5B815" w:rsidR="00F25232" w:rsidRDefault="00F25232" w:rsidP="00F25232"/>
    <w:p w14:paraId="2053FC8F" w14:textId="0F361999" w:rsidR="003B376E" w:rsidRDefault="005205D5" w:rsidP="00DA4E21">
      <w:r w:rsidRPr="005205D5">
        <w:t>Les approches précédentes se concentrent principalement sur l'analyse en régime permanent d</w:t>
      </w:r>
      <w:r>
        <w:t>e l’effet Morton</w:t>
      </w:r>
      <w:r w:rsidRPr="005205D5">
        <w:t>. Cependant, étant donné que l</w:t>
      </w:r>
      <w:r>
        <w:t xml:space="preserve">’effet </w:t>
      </w:r>
      <w:r w:rsidR="00171CBB">
        <w:t>Morton</w:t>
      </w:r>
      <w:r w:rsidR="00171CBB" w:rsidRPr="005205D5">
        <w:t xml:space="preserve"> </w:t>
      </w:r>
      <w:r w:rsidR="00171CBB">
        <w:t>pourrait être un processus</w:t>
      </w:r>
      <w:r w:rsidR="000306B5">
        <w:t xml:space="preserve"> transitoire et très sensible à l’évolution de</w:t>
      </w:r>
      <w:r w:rsidR="00171CBB">
        <w:t xml:space="preserve"> conditions de fonctionnement, </w:t>
      </w:r>
      <w:r w:rsidRPr="005205D5">
        <w:t xml:space="preserve">la prédiction transitoire entièrement non linéaire avec une modélisation haute-fidélité est nécessaire. </w:t>
      </w:r>
      <w:r w:rsidR="00384969">
        <w:t>Depuis 20</w:t>
      </w:r>
      <w:r w:rsidR="000D4ECB">
        <w:t>09 [</w:t>
      </w:r>
      <w:r w:rsidR="001F629E">
        <w:t>Article de review palazolo</w:t>
      </w:r>
      <w:r w:rsidR="000D4ECB">
        <w:t>]</w:t>
      </w:r>
      <w:r w:rsidR="00384969">
        <w:t xml:space="preserve">, </w:t>
      </w:r>
      <w:r w:rsidR="00216F20">
        <w:t>les chercheurs</w:t>
      </w:r>
      <w:r w:rsidRPr="005205D5">
        <w:t xml:space="preserve"> se sont penchés sur l'analyse</w:t>
      </w:r>
      <w:r w:rsidR="00171CBB">
        <w:t xml:space="preserve"> transitoire de Morton</w:t>
      </w:r>
      <w:r w:rsidRPr="005205D5">
        <w:t>, visant à voir le profil de vibration et de température du rotor dans le domaine temporel.</w:t>
      </w:r>
    </w:p>
    <w:p w14:paraId="0DEAEE59" w14:textId="77777777" w:rsidR="00645733" w:rsidRDefault="00DA4E21" w:rsidP="00DA4E21">
      <w:r w:rsidRPr="00A22718">
        <w:rPr>
          <w:b/>
        </w:rPr>
        <w:lastRenderedPageBreak/>
        <w:t>En 2013</w:t>
      </w:r>
      <w:r>
        <w:t>, Lee et</w:t>
      </w:r>
      <w:r w:rsidRPr="00A22718">
        <w:t xml:space="preserve"> Palazzolo</w:t>
      </w:r>
      <w:r w:rsidRPr="00A22718">
        <w:rPr>
          <w:b/>
        </w:rPr>
        <w:t xml:space="preserve"> </w:t>
      </w:r>
      <w:r w:rsidRPr="00A22718">
        <w:rPr>
          <w:b/>
        </w:rPr>
        <w:fldChar w:fldCharType="begin"/>
      </w:r>
      <w:r w:rsidRPr="00A22718">
        <w:rPr>
          <w:b/>
        </w:rPr>
        <w:instrText xml:space="preserve"> REF _Ref444182495 \r \h  \* MERGEFORMAT </w:instrText>
      </w:r>
      <w:r w:rsidRPr="00A22718">
        <w:rPr>
          <w:b/>
        </w:rPr>
      </w:r>
      <w:r w:rsidRPr="00A22718">
        <w:rPr>
          <w:b/>
        </w:rPr>
        <w:fldChar w:fldCharType="separate"/>
      </w:r>
      <w:r w:rsidR="00246D55">
        <w:rPr>
          <w:b/>
        </w:rPr>
        <w:t>[15]</w:t>
      </w:r>
      <w:r w:rsidRPr="00A22718">
        <w:rPr>
          <w:b/>
        </w:rPr>
        <w:fldChar w:fldCharType="end"/>
      </w:r>
      <w:r w:rsidRPr="00A22718">
        <w:t xml:space="preserve"> </w:t>
      </w:r>
      <w:r>
        <w:t>ont utilisé un modèle éléments finis pour résoudre l’équation de Reynolds</w:t>
      </w:r>
      <w:r w:rsidR="003B376E">
        <w:t xml:space="preserve"> couplé</w:t>
      </w:r>
      <w:r w:rsidR="00A200B1">
        <w:t>e</w:t>
      </w:r>
      <w:r w:rsidR="003B376E">
        <w:t xml:space="preserve"> avec l’équation de l’énergie</w:t>
      </w:r>
      <w:r w:rsidR="00A200B1">
        <w:t xml:space="preserve"> pour le fluide film</w:t>
      </w:r>
      <w:r>
        <w:t xml:space="preserve"> ainsi que l</w:t>
      </w:r>
      <w:r w:rsidR="00A200B1">
        <w:t>’équation de</w:t>
      </w:r>
      <w:r>
        <w:t xml:space="preserve"> conduction thermique </w:t>
      </w:r>
      <w:r w:rsidR="00A200B1">
        <w:t>pour</w:t>
      </w:r>
      <w:r w:rsidR="003B376E">
        <w:t xml:space="preserve"> le </w:t>
      </w:r>
      <w:r>
        <w:t>rotor.</w:t>
      </w:r>
      <w:r w:rsidR="00145B76">
        <w:t xml:space="preserve"> L’équation de l’énergie </w:t>
      </w:r>
      <w:r w:rsidR="00145B76">
        <w:t xml:space="preserve">est limitée au cas 2D. </w:t>
      </w:r>
      <w:r>
        <w:t xml:space="preserve"> Le</w:t>
      </w:r>
      <w:r w:rsidR="00751785">
        <w:t xml:space="preserve">s simulations ont porté sur un rotor flexible </w:t>
      </w:r>
      <w:r w:rsidR="00DB4BC1">
        <w:t>guidé</w:t>
      </w:r>
      <w:r>
        <w:t xml:space="preserve"> en rotation par un palier à patins oscillants en régime </w:t>
      </w:r>
      <w:r w:rsidR="00580882">
        <w:t>transitoire</w:t>
      </w:r>
      <w:r>
        <w:t xml:space="preserve">. </w:t>
      </w:r>
      <w:r w:rsidR="00275789">
        <w:t xml:space="preserve">Les déformations thermomécaniques des patins n’ont pas été prises en compte dans ce modèle. </w:t>
      </w:r>
      <w:r w:rsidR="00DB4BC1">
        <w:t xml:space="preserve">Le balourd </w:t>
      </w:r>
      <w:r w:rsidR="00B00194">
        <w:t>thermique a été modélisé par l’approche de masse concentrée du disque en porte-à-fau</w:t>
      </w:r>
      <w:r w:rsidR="00EA3CF8">
        <w:t>x</w:t>
      </w:r>
      <w:r w:rsidR="00B00194">
        <w:t>, qui est similaire à Murphy</w:t>
      </w:r>
      <w:r w:rsidR="00854F8B">
        <w:t xml:space="preserve"> </w:t>
      </w:r>
      <w:r w:rsidR="00155DE8" w:rsidRPr="00155DE8">
        <w:rPr>
          <w:b/>
        </w:rPr>
        <w:fldChar w:fldCharType="begin"/>
      </w:r>
      <w:r w:rsidR="00155DE8" w:rsidRPr="00155DE8">
        <w:rPr>
          <w:b/>
        </w:rPr>
        <w:instrText xml:space="preserve"> REF _Ref523086107 \r \h </w:instrText>
      </w:r>
      <w:r w:rsidR="00155DE8" w:rsidRPr="00155DE8">
        <w:rPr>
          <w:b/>
        </w:rPr>
      </w:r>
      <w:r w:rsidR="00155DE8">
        <w:rPr>
          <w:b/>
        </w:rPr>
        <w:instrText xml:space="preserve"> \* MERGEFORMAT </w:instrText>
      </w:r>
      <w:r w:rsidR="00155DE8" w:rsidRPr="00155DE8">
        <w:rPr>
          <w:b/>
        </w:rPr>
        <w:fldChar w:fldCharType="separate"/>
      </w:r>
      <w:r w:rsidR="00155DE8" w:rsidRPr="00155DE8">
        <w:rPr>
          <w:b/>
        </w:rPr>
        <w:t>[6]</w:t>
      </w:r>
      <w:r w:rsidR="00155DE8" w:rsidRPr="00155DE8">
        <w:rPr>
          <w:b/>
        </w:rPr>
        <w:fldChar w:fldCharType="end"/>
      </w:r>
      <w:r w:rsidR="00D62D5D">
        <w:t xml:space="preserve"> et Kirk</w:t>
      </w:r>
      <w:r w:rsidR="00854F8B">
        <w:t xml:space="preserve"> </w:t>
      </w:r>
      <w:r w:rsidR="00D62D5D" w:rsidRPr="00D62D5D">
        <w:rPr>
          <w:b/>
        </w:rPr>
        <w:fldChar w:fldCharType="begin"/>
      </w:r>
      <w:r w:rsidR="00D62D5D" w:rsidRPr="00D62D5D">
        <w:rPr>
          <w:b/>
        </w:rPr>
        <w:instrText xml:space="preserve"> REF _Ref444181331 \r \h </w:instrText>
      </w:r>
      <w:r w:rsidR="00D62D5D" w:rsidRPr="00D62D5D">
        <w:rPr>
          <w:b/>
        </w:rPr>
      </w:r>
      <w:r w:rsidR="00D62D5D">
        <w:rPr>
          <w:b/>
        </w:rPr>
        <w:instrText xml:space="preserve"> \* MERGEFORMAT </w:instrText>
      </w:r>
      <w:r w:rsidR="00D62D5D" w:rsidRPr="00D62D5D">
        <w:rPr>
          <w:b/>
        </w:rPr>
        <w:fldChar w:fldCharType="separate"/>
      </w:r>
      <w:r w:rsidR="00D62D5D" w:rsidRPr="00D62D5D">
        <w:rPr>
          <w:b/>
        </w:rPr>
        <w:t>[8]</w:t>
      </w:r>
      <w:r w:rsidR="00D62D5D" w:rsidRPr="00D62D5D">
        <w:rPr>
          <w:b/>
        </w:rPr>
        <w:fldChar w:fldCharType="end"/>
      </w:r>
      <w:r w:rsidR="00B00194">
        <w:t xml:space="preserve">. </w:t>
      </w:r>
      <w:r w:rsidR="00854F8B">
        <w:t xml:space="preserve">  </w:t>
      </w:r>
    </w:p>
    <w:p w14:paraId="018FF74F" w14:textId="5829E743" w:rsidR="007A13E5" w:rsidRDefault="00FE1987" w:rsidP="00DA4E21">
      <w:r>
        <w:t xml:space="preserve">La simulation de l’effet Morton en transitoire nécessite de l’effort de calcul assez important à cause de la différence de l’échelle du temps entre le phénomène thermique et le phénomène dynamique. </w:t>
      </w:r>
      <w:r w:rsidR="008E34C3">
        <w:t>Afin de réduire le temps de calcul, u</w:t>
      </w:r>
      <w:r w:rsidR="00DA4E21">
        <w:t xml:space="preserve">n schéma en quinconce (staggered integration scheme) </w:t>
      </w:r>
      <w:r w:rsidR="002E0D83">
        <w:t>et une approche de moyennage</w:t>
      </w:r>
      <w:r w:rsidR="00C629A4">
        <w:t xml:space="preserve"> dans le temps pour</w:t>
      </w:r>
      <w:r w:rsidR="002E0D83">
        <w:t xml:space="preserve"> la température de rotor ont</w:t>
      </w:r>
      <w:r w:rsidR="00DA4E21">
        <w:t xml:space="preserve"> été utilisé</w:t>
      </w:r>
      <w:r w:rsidR="002E0D83">
        <w:t>s</w:t>
      </w:r>
      <w:r w:rsidR="00DA4E21">
        <w:t>.</w:t>
      </w:r>
      <w:r w:rsidR="00645733">
        <w:t xml:space="preserve"> </w:t>
      </w:r>
      <w:r w:rsidR="00854F8B" w:rsidRPr="00854F8B">
        <w:t>La</w:t>
      </w:r>
      <w:r w:rsidR="00637B60">
        <w:t xml:space="preserve"> </w:t>
      </w:r>
      <w:r w:rsidR="00637B60">
        <w:fldChar w:fldCharType="begin"/>
      </w:r>
      <w:r w:rsidR="00637B60">
        <w:instrText xml:space="preserve"> REF _Ref523218453 \h </w:instrText>
      </w:r>
      <w:r w:rsidR="00637B60">
        <w:fldChar w:fldCharType="separate"/>
      </w:r>
      <w:r w:rsidR="00637B60">
        <w:t xml:space="preserve">Figure </w:t>
      </w:r>
      <w:r w:rsidR="00637B60">
        <w:rPr>
          <w:noProof/>
        </w:rPr>
        <w:t>3</w:t>
      </w:r>
      <w:r w:rsidR="00637B60">
        <w:fldChar w:fldCharType="end"/>
      </w:r>
      <w:r w:rsidR="00854F8B" w:rsidRPr="00854F8B">
        <w:t xml:space="preserve"> montre le diagramme </w:t>
      </w:r>
      <w:r w:rsidR="004F4E02">
        <w:t>du schéma en quinconce</w:t>
      </w:r>
      <w:r w:rsidR="00637B60">
        <w:t xml:space="preserve">, où chaque cycle </w:t>
      </w:r>
      <w:r w:rsidR="00854F8B" w:rsidRPr="00854F8B">
        <w:t xml:space="preserve">comprend deux étapes. Au cours de la 1ère étape, les équations de Reynolds, d'énergie, de conduction thermique et </w:t>
      </w:r>
      <w:r w:rsidR="00637B60">
        <w:t>de mouvement</w:t>
      </w:r>
      <w:r w:rsidR="00854F8B" w:rsidRPr="00854F8B">
        <w:t xml:space="preserve"> d</w:t>
      </w:r>
      <w:r w:rsidR="00637B60">
        <w:t>e</w:t>
      </w:r>
      <w:r w:rsidR="00854F8B" w:rsidRPr="00854F8B">
        <w:t xml:space="preserve"> rotor sont résolues. La température et la viscosité sont ensuite stockées à la fin de l'étape 1 et utilisées pour l'étape 2, où </w:t>
      </w:r>
      <w:r w:rsidR="004372F2">
        <w:t xml:space="preserve">seulement </w:t>
      </w:r>
      <w:r w:rsidR="00854F8B" w:rsidRPr="00854F8B">
        <w:t>l'équation de conduction thermique transitoire est résolue pour actualiser la température du rotor et du palier. Le</w:t>
      </w:r>
      <w:r w:rsidR="007F1E31">
        <w:t xml:space="preserve"> pas de</w:t>
      </w:r>
      <w:r w:rsidR="00854F8B" w:rsidRPr="00854F8B">
        <w:t xml:space="preserve"> temps d'intégration pour l'étape 2 est b</w:t>
      </w:r>
      <w:r w:rsidR="007F1E31">
        <w:t>eaucoup plus grand que l'étape 1 afin d’</w:t>
      </w:r>
      <w:r w:rsidR="0049003F">
        <w:t>accélérer le calcul</w:t>
      </w:r>
      <w:r w:rsidR="00854F8B" w:rsidRPr="00854F8B">
        <w:t>.</w:t>
      </w:r>
      <w:r w:rsidR="007A13E5">
        <w:t xml:space="preserve"> </w:t>
      </w:r>
    </w:p>
    <w:p w14:paraId="5D1AA1F0" w14:textId="77777777" w:rsidR="00645733" w:rsidRDefault="00645733" w:rsidP="00645733">
      <w:pPr>
        <w:keepNext/>
        <w:jc w:val="center"/>
      </w:pPr>
      <w:r w:rsidRPr="004F4E02">
        <w:rPr>
          <w:noProof/>
          <w:lang w:eastAsia="zh-CN"/>
        </w:rPr>
        <w:drawing>
          <wp:inline distT="0" distB="0" distL="0" distR="0" wp14:anchorId="1DDFC558" wp14:editId="2CA28CCC">
            <wp:extent cx="4083218" cy="478087"/>
            <wp:effectExtent l="0" t="0" r="0" b="0"/>
            <wp:docPr id="2" name="Image 2" descr="Z:\local\1_tout_travail\99_Manusrite_Thèse\99_Memoire thèse\Introduction\Figures\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cal\1_tout_travail\99_Manusrite_Thèse\99_Memoire thèse\Introduction\Figures\S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2037" cy="484974"/>
                    </a:xfrm>
                    <a:prstGeom prst="rect">
                      <a:avLst/>
                    </a:prstGeom>
                    <a:noFill/>
                    <a:ln>
                      <a:noFill/>
                    </a:ln>
                  </pic:spPr>
                </pic:pic>
              </a:graphicData>
            </a:graphic>
          </wp:inline>
        </w:drawing>
      </w:r>
    </w:p>
    <w:p w14:paraId="61C356A4" w14:textId="77777777" w:rsidR="00645733" w:rsidRDefault="00645733" w:rsidP="00645733">
      <w:pPr>
        <w:pStyle w:val="Lgende"/>
        <w:jc w:val="center"/>
      </w:pPr>
      <w:bookmarkStart w:id="9" w:name="_Ref523218453"/>
      <w:r>
        <w:t xml:space="preserve">Figure </w:t>
      </w:r>
      <w:r>
        <w:fldChar w:fldCharType="begin"/>
      </w:r>
      <w:r>
        <w:instrText xml:space="preserve"> SEQ Figure \* ARABIC </w:instrText>
      </w:r>
      <w:r>
        <w:fldChar w:fldCharType="separate"/>
      </w:r>
      <w:r>
        <w:rPr>
          <w:noProof/>
        </w:rPr>
        <w:t>3</w:t>
      </w:r>
      <w:r>
        <w:fldChar w:fldCharType="end"/>
      </w:r>
      <w:bookmarkEnd w:id="9"/>
      <w:r>
        <w:t xml:space="preserve"> Diagramme du schéma en quinconce</w:t>
      </w:r>
    </w:p>
    <w:p w14:paraId="5D4711D3" w14:textId="0B0F336C" w:rsidR="00DA4E21" w:rsidRPr="00854F8B" w:rsidRDefault="00DA4E21" w:rsidP="00DA4E21">
      <w:r>
        <w:t>Les auteurs ont utilisé ce modèle pour étudier</w:t>
      </w:r>
      <w:r w:rsidRPr="00A22718">
        <w:t xml:space="preserve"> le cas présenté dans l’article de Gomiciaga et Keogh </w:t>
      </w:r>
      <w:r w:rsidRPr="00A22718">
        <w:rPr>
          <w:b/>
        </w:rPr>
        <w:fldChar w:fldCharType="begin"/>
      </w:r>
      <w:r w:rsidRPr="00A22718">
        <w:rPr>
          <w:b/>
        </w:rPr>
        <w:instrText xml:space="preserve"> REF _Ref444181005 \r \h  \* MERGEFORMAT </w:instrText>
      </w:r>
      <w:r w:rsidRPr="00A22718">
        <w:rPr>
          <w:b/>
        </w:rPr>
      </w:r>
      <w:r w:rsidRPr="00A22718">
        <w:rPr>
          <w:b/>
        </w:rPr>
        <w:fldChar w:fldCharType="separate"/>
      </w:r>
      <w:r w:rsidR="00246D55">
        <w:rPr>
          <w:b/>
        </w:rPr>
        <w:t>[18]</w:t>
      </w:r>
      <w:r w:rsidRPr="00A22718">
        <w:rPr>
          <w:b/>
        </w:rPr>
        <w:fldChar w:fldCharType="end"/>
      </w:r>
      <w:r w:rsidRPr="00A22718">
        <w:t>. Les résultats montrent que le déphasage entre</w:t>
      </w:r>
      <w:r>
        <w:t xml:space="preserve"> le point chaud et le point haut </w:t>
      </w:r>
      <w:r w:rsidRPr="00A22718">
        <w:t>issu de la simulation correspond bien à celui</w:t>
      </w:r>
      <w:r>
        <w:t xml:space="preserve"> observé dans la réalité.</w:t>
      </w:r>
      <w:r w:rsidRPr="00A22718">
        <w:t xml:space="preserve"> Cependant, la différence de la température entre c</w:t>
      </w:r>
      <w:r>
        <w:t>es deux points</w:t>
      </w:r>
      <w:r w:rsidRPr="00A22718">
        <w:t xml:space="preserve"> est légèrement plus grande que celle issue de </w:t>
      </w:r>
      <w:r w:rsidRPr="00A22718">
        <w:rPr>
          <w:b/>
        </w:rPr>
        <w:fldChar w:fldCharType="begin"/>
      </w:r>
      <w:r w:rsidRPr="00A22718">
        <w:rPr>
          <w:b/>
        </w:rPr>
        <w:instrText xml:space="preserve"> REF _Ref444181005 \r \h  \* MERGEFORMAT </w:instrText>
      </w:r>
      <w:r w:rsidRPr="00A22718">
        <w:rPr>
          <w:b/>
        </w:rPr>
      </w:r>
      <w:r w:rsidRPr="00A22718">
        <w:rPr>
          <w:b/>
        </w:rPr>
        <w:fldChar w:fldCharType="separate"/>
      </w:r>
      <w:r w:rsidR="00246D55">
        <w:rPr>
          <w:b/>
        </w:rPr>
        <w:t>[18]</w:t>
      </w:r>
      <w:r w:rsidRPr="00A22718">
        <w:rPr>
          <w:b/>
        </w:rPr>
        <w:fldChar w:fldCharType="end"/>
      </w:r>
      <w:r w:rsidRPr="00A22718">
        <w:t xml:space="preserve">. Des explications possibles sont données : l’hypothèse de l’isolation thermique entre le film lubrifiant et le coussinet est à améliorer et la distribution non-uniforme de la température dans la direction axiale devrait être considérée. En général, ce modèle donne un très bon accord quantitatif avec les publications sur la prédiction de la distribution non-uniforme de la température dans le palier circulaire. En outre, les deux effets antagonistes suite à l’augmentation de la température (diminution de viscosité et </w:t>
      </w:r>
      <w:r w:rsidRPr="00A22718">
        <w:rPr>
          <w:bCs/>
        </w:rPr>
        <w:t>accentuation des balourds thermiques suite à l’augmentation de la température) ont été mentionnés et discutés.</w:t>
      </w:r>
    </w:p>
    <w:p w14:paraId="7534004E" w14:textId="77777777" w:rsidR="001829BF" w:rsidRPr="00A22718" w:rsidRDefault="001829BF" w:rsidP="00DA4E21"/>
    <w:p w14:paraId="5BB81295" w14:textId="1E9051A3" w:rsidR="00AE7B92" w:rsidRDefault="00DA4E21" w:rsidP="00DA4E21">
      <w:r w:rsidRPr="00A22718">
        <w:rPr>
          <w:b/>
        </w:rPr>
        <w:t>En 2014</w:t>
      </w:r>
      <w:r w:rsidRPr="00A22718">
        <w:t xml:space="preserve">, Suh et Palazzolo </w:t>
      </w:r>
      <w:r w:rsidRPr="00A22718">
        <w:rPr>
          <w:b/>
        </w:rPr>
        <w:fldChar w:fldCharType="begin"/>
      </w:r>
      <w:r w:rsidRPr="00A22718">
        <w:rPr>
          <w:b/>
        </w:rPr>
        <w:instrText xml:space="preserve"> REF _Ref444184104 \r \h  \* MERGEFORMAT </w:instrText>
      </w:r>
      <w:r w:rsidRPr="00A22718">
        <w:rPr>
          <w:b/>
        </w:rPr>
      </w:r>
      <w:r w:rsidRPr="00A22718">
        <w:rPr>
          <w:b/>
        </w:rPr>
        <w:fldChar w:fldCharType="separate"/>
      </w:r>
      <w:r w:rsidR="00246D55">
        <w:rPr>
          <w:b/>
        </w:rPr>
        <w:t>[16]</w:t>
      </w:r>
      <w:r w:rsidRPr="00A22718">
        <w:rPr>
          <w:b/>
        </w:rPr>
        <w:fldChar w:fldCharType="end"/>
      </w:r>
      <w:r w:rsidRPr="00A22718">
        <w:t xml:space="preserve"> </w:t>
      </w:r>
      <w:r>
        <w:t xml:space="preserve">publient une amélioration significative du modèle précédent. </w:t>
      </w:r>
      <w:r w:rsidR="001829BF">
        <w:t>Cette dernière combine</w:t>
      </w:r>
      <w:r w:rsidR="00AE7B92">
        <w:t xml:space="preserve"> principalement</w:t>
      </w:r>
      <w:r>
        <w:t> :</w:t>
      </w:r>
      <w:r w:rsidR="00FD7C1C">
        <w:t xml:space="preserve"> (1) </w:t>
      </w:r>
      <w:r w:rsidR="00712E0D">
        <w:t>la résolution de l’équation de Reynolds dans le film et de l’équation de l’énergie en 3D;</w:t>
      </w:r>
      <w:r w:rsidR="00712E0D">
        <w:t xml:space="preserve"> </w:t>
      </w:r>
      <w:r w:rsidR="00FD7C1C">
        <w:t>(2)</w:t>
      </w:r>
      <w:r w:rsidR="00712E0D">
        <w:t xml:space="preserve"> </w:t>
      </w:r>
      <w:r w:rsidR="00712E0D">
        <w:t>un modèle éléments finis 3D pour évaluer la</w:t>
      </w:r>
      <w:r w:rsidR="001B2BB2">
        <w:t xml:space="preserve"> conduction thermique et la</w:t>
      </w:r>
      <w:r w:rsidR="00712E0D">
        <w:t xml:space="preserve"> déformation thermomécanique au niveau du rotor et des patins</w:t>
      </w:r>
      <w:r w:rsidR="001B2BB2">
        <w:t>.</w:t>
      </w:r>
      <w:r w:rsidR="00AE7B92">
        <w:t xml:space="preserve"> </w:t>
      </w:r>
      <w:r w:rsidR="005E7277">
        <w:t>Les équations de conduction 3D du rotor et du coussinet sont couplées avec le film de fluide</w:t>
      </w:r>
      <w:r w:rsidR="0068547F">
        <w:t xml:space="preserve"> </w:t>
      </w:r>
      <w:r w:rsidR="005E7277">
        <w:t xml:space="preserve">par la condition de transfert de chaleur conjugué. </w:t>
      </w:r>
      <w:r w:rsidR="00365D87">
        <w:t xml:space="preserve">Le flux thermique et la température sont supposés </w:t>
      </w:r>
      <w:r w:rsidR="00B4203D">
        <w:t>continus</w:t>
      </w:r>
      <w:r w:rsidR="00365D87">
        <w:t xml:space="preserve"> à l’interface du fluide-structure, ce qui est différent de la condition de la paroi adiabatique pour l’interface fluide-coussinet dans </w:t>
      </w:r>
      <w:r w:rsidR="00A23F5E" w:rsidRPr="00A23F5E">
        <w:rPr>
          <w:b/>
        </w:rPr>
        <w:fldChar w:fldCharType="begin"/>
      </w:r>
      <w:r w:rsidR="00A23F5E" w:rsidRPr="00A23F5E">
        <w:rPr>
          <w:b/>
        </w:rPr>
        <w:instrText xml:space="preserve"> REF _Ref523220306 \r \h </w:instrText>
      </w:r>
      <w:r w:rsidR="00A23F5E" w:rsidRPr="00A23F5E">
        <w:rPr>
          <w:b/>
        </w:rPr>
      </w:r>
      <w:r w:rsidR="00A23F5E">
        <w:rPr>
          <w:b/>
        </w:rPr>
        <w:instrText xml:space="preserve"> \* MERGEFORMAT </w:instrText>
      </w:r>
      <w:r w:rsidR="00A23F5E" w:rsidRPr="00A23F5E">
        <w:rPr>
          <w:b/>
        </w:rPr>
        <w:fldChar w:fldCharType="separate"/>
      </w:r>
      <w:r w:rsidR="00A23F5E" w:rsidRPr="00A23F5E">
        <w:rPr>
          <w:b/>
        </w:rPr>
        <w:t>[15]</w:t>
      </w:r>
      <w:r w:rsidR="00A23F5E" w:rsidRPr="00A23F5E">
        <w:rPr>
          <w:b/>
        </w:rPr>
        <w:fldChar w:fldCharType="end"/>
      </w:r>
      <w:r w:rsidR="00A23F5E">
        <w:rPr>
          <w:b/>
        </w:rPr>
        <w:t xml:space="preserve">. </w:t>
      </w:r>
      <w:r w:rsidR="00B4203D">
        <w:t xml:space="preserve">Le </w:t>
      </w:r>
      <w:r w:rsidR="00B4203D" w:rsidRPr="00B4203D">
        <w:t xml:space="preserve">flux thermique entre le </w:t>
      </w:r>
      <w:r w:rsidR="00B4203D">
        <w:t>fluide</w:t>
      </w:r>
      <w:r w:rsidR="00B4203D" w:rsidRPr="00B4203D">
        <w:t xml:space="preserve"> et l'arbre ont été </w:t>
      </w:r>
      <w:r w:rsidR="00B4203D">
        <w:t>stocké</w:t>
      </w:r>
      <w:r w:rsidR="00B4203D" w:rsidRPr="00B4203D">
        <w:t xml:space="preserve"> à chaque pas de temps et </w:t>
      </w:r>
      <w:r w:rsidR="001A67F2">
        <w:t>un flux thermique</w:t>
      </w:r>
      <w:r w:rsidR="00B4203D" w:rsidRPr="00B4203D">
        <w:t xml:space="preserve"> moyenné</w:t>
      </w:r>
      <w:r w:rsidR="008F7997">
        <w:t xml:space="preserve"> </w:t>
      </w:r>
      <w:r w:rsidR="008F7997">
        <w:t>dans</w:t>
      </w:r>
      <w:r w:rsidR="008F7997" w:rsidRPr="00B4203D">
        <w:t xml:space="preserve"> le temps</w:t>
      </w:r>
      <w:r w:rsidR="00B4203D" w:rsidRPr="00B4203D">
        <w:t xml:space="preserve"> </w:t>
      </w:r>
      <w:r w:rsidR="001A67F2">
        <w:t>en se basant sur l’orbite</w:t>
      </w:r>
      <w:r w:rsidR="008F7997">
        <w:t xml:space="preserve"> convergée</w:t>
      </w:r>
      <w:r w:rsidR="001A67F2">
        <w:t xml:space="preserve"> </w:t>
      </w:r>
      <w:r w:rsidR="008F7997">
        <w:t xml:space="preserve">a été calculées. </w:t>
      </w:r>
      <w:r w:rsidR="0065335C">
        <w:t xml:space="preserve">Ce dernier a été imposé </w:t>
      </w:r>
      <w:r w:rsidR="00B4203D" w:rsidRPr="00B4203D">
        <w:t>à l</w:t>
      </w:r>
      <w:r w:rsidR="0065335C">
        <w:t>a surface du rotor</w:t>
      </w:r>
      <w:r w:rsidR="00B4203D" w:rsidRPr="00B4203D">
        <w:t xml:space="preserve"> pour mettre à jour la distribution de température transitoire du rotor. </w:t>
      </w:r>
      <w:r w:rsidR="00641D23">
        <w:t>En outre, l</w:t>
      </w:r>
      <w:r w:rsidR="00B4203D" w:rsidRPr="00B4203D">
        <w:t>a déformation thermique du rotor a été calculée par la 3D FEM au lieu d'utiliser la formule de Dimarogonas [6].</w:t>
      </w:r>
      <w:r w:rsidR="00AE7B92">
        <w:t xml:space="preserve"> Un modèle du balourd </w:t>
      </w:r>
      <w:r w:rsidR="00AE7B92" w:rsidRPr="00AE7B92">
        <w:t xml:space="preserve">thermique réparti a été proposé pour inclure tous les </w:t>
      </w:r>
      <w:r w:rsidR="00AE7B92">
        <w:t xml:space="preserve">balourds </w:t>
      </w:r>
      <w:r w:rsidR="00AE7B92" w:rsidRPr="00AE7B92">
        <w:t xml:space="preserve">thermiques nodaux </w:t>
      </w:r>
      <w:r w:rsidR="00AE7B92">
        <w:t>le long de la ligne d’arbre</w:t>
      </w:r>
      <w:r w:rsidR="00AE7B92" w:rsidRPr="00AE7B92">
        <w:t xml:space="preserve">, tandis que d'autres méthodes ne tenaient compte que du </w:t>
      </w:r>
      <w:r w:rsidR="00AE7B92">
        <w:t xml:space="preserve">balourd généré au niveau </w:t>
      </w:r>
      <w:r w:rsidR="00AE7B92" w:rsidRPr="00AE7B92">
        <w:t xml:space="preserve">du disque </w:t>
      </w:r>
      <w:r w:rsidR="00AE7B92">
        <w:t>en porte-à-faux</w:t>
      </w:r>
      <w:r w:rsidR="00AE7B92" w:rsidRPr="00AE7B92">
        <w:t>.</w:t>
      </w:r>
    </w:p>
    <w:p w14:paraId="6B370F27" w14:textId="77777777" w:rsidR="00DC245B" w:rsidRDefault="00DC245B" w:rsidP="00DA4E21"/>
    <w:p w14:paraId="6ED95151" w14:textId="58A01987" w:rsidR="001B2BB2" w:rsidRPr="005F763F" w:rsidRDefault="004F531D" w:rsidP="00DA4E21">
      <w:r w:rsidRPr="002B501B">
        <w:rPr>
          <w:b/>
        </w:rPr>
        <w:t>En</w:t>
      </w:r>
      <w:r w:rsidR="002B501B" w:rsidRPr="002B501B">
        <w:rPr>
          <w:b/>
        </w:rPr>
        <w:t xml:space="preserve"> 2016</w:t>
      </w:r>
      <w:r w:rsidR="002B501B">
        <w:t xml:space="preserve">, </w:t>
      </w:r>
      <w:r>
        <w:t xml:space="preserve"> </w:t>
      </w:r>
      <w:r w:rsidR="002B501B">
        <w:t>afin de trouver un bon compromis entre l’efficacité et la précision de la simulation de l’effet Morton</w:t>
      </w:r>
      <w:r w:rsidR="00986167">
        <w:t xml:space="preserve"> </w:t>
      </w:r>
      <w:r w:rsidR="002B0B90">
        <w:t>avec</w:t>
      </w:r>
      <w:r w:rsidR="00986167">
        <w:t xml:space="preserve"> </w:t>
      </w:r>
      <w:r w:rsidR="00FF5785">
        <w:t xml:space="preserve">le modèle présenté dans </w:t>
      </w:r>
      <w:r w:rsidR="00FF5785">
        <w:fldChar w:fldCharType="begin"/>
      </w:r>
      <w:r w:rsidR="00FF5785">
        <w:instrText xml:space="preserve"> REF _Ref523226789 \r \h </w:instrText>
      </w:r>
      <w:r w:rsidR="00FF5785">
        <w:fldChar w:fldCharType="separate"/>
      </w:r>
      <w:r w:rsidR="00FF5785">
        <w:t>[16]</w:t>
      </w:r>
      <w:r w:rsidR="00FF5785">
        <w:fldChar w:fldCharType="end"/>
      </w:r>
      <w:r w:rsidR="002B501B">
        <w:t>,</w:t>
      </w:r>
      <w:r w:rsidR="00986167">
        <w:t xml:space="preserve"> Tong et Palazzolo</w:t>
      </w:r>
      <w:r w:rsidR="002B501B">
        <w:t xml:space="preserve"> </w:t>
      </w:r>
      <w:r w:rsidR="002B0B90">
        <w:t xml:space="preserve">ont amélioré la démarche de Suh en utilisant une maillage des éléments finis hybride. </w:t>
      </w:r>
      <w:r w:rsidR="005F763F">
        <w:t xml:space="preserve">En considérant la conclusion de Guo et al. </w:t>
      </w:r>
      <w:r w:rsidR="005F763F" w:rsidRPr="00133B2E">
        <w:rPr>
          <w:b/>
        </w:rPr>
        <w:fldChar w:fldCharType="begin"/>
      </w:r>
      <w:r w:rsidR="005F763F" w:rsidRPr="00133B2E">
        <w:rPr>
          <w:b/>
        </w:rPr>
        <w:instrText xml:space="preserve"> REF _Ref523221472 \r \h </w:instrText>
      </w:r>
      <w:r w:rsidR="005F763F" w:rsidRPr="00133B2E">
        <w:rPr>
          <w:b/>
        </w:rPr>
      </w:r>
      <w:r w:rsidR="005F763F">
        <w:rPr>
          <w:b/>
        </w:rPr>
        <w:instrText xml:space="preserve"> \* MERGEFORMAT </w:instrText>
      </w:r>
      <w:r w:rsidR="005F763F" w:rsidRPr="00133B2E">
        <w:rPr>
          <w:b/>
        </w:rPr>
        <w:fldChar w:fldCharType="separate"/>
      </w:r>
      <w:r w:rsidR="005F763F" w:rsidRPr="00133B2E">
        <w:rPr>
          <w:b/>
        </w:rPr>
        <w:t>[19]</w:t>
      </w:r>
      <w:r w:rsidR="005F763F" w:rsidRPr="00133B2E">
        <w:rPr>
          <w:b/>
        </w:rPr>
        <w:fldChar w:fldCharType="end"/>
      </w:r>
      <w:r w:rsidR="005F763F">
        <w:t xml:space="preserve"> qui présument que </w:t>
      </w:r>
      <w:r w:rsidR="005F763F">
        <w:t xml:space="preserve">le rotor avec une masse prépondérante entre les paliers pouvait également comporter </w:t>
      </w:r>
      <w:r w:rsidR="005F763F">
        <w:lastRenderedPageBreak/>
        <w:t>l’instabilité du type l’effet Morton</w:t>
      </w:r>
      <w:r w:rsidR="005F763F">
        <w:t xml:space="preserve">, </w:t>
      </w:r>
      <w:r w:rsidR="004B7385">
        <w:t xml:space="preserve">l’approche améliorée a prise en compte la flexion thermique dans la partie du rotor en porte-à-faux et celle entre les paliers. De plus, </w:t>
      </w:r>
      <w:r w:rsidR="0004014A">
        <w:t>une autre modélisation du balourd thermique</w:t>
      </w:r>
      <w:r w:rsidR="00FF0019">
        <w:t xml:space="preserve"> nommée</w:t>
      </w:r>
      <w:r w:rsidR="0004014A">
        <w:t xml:space="preserve"> </w:t>
      </w:r>
      <w:r w:rsidR="00C95B46">
        <w:t>rotor fléchi méthode</w:t>
      </w:r>
      <w:r w:rsidR="00FF0019">
        <w:t xml:space="preserve"> (bowed rotor method)</w:t>
      </w:r>
      <w:r w:rsidR="0004014A">
        <w:t xml:space="preserve"> a été </w:t>
      </w:r>
      <w:r w:rsidR="00C95B46">
        <w:t>proposée</w:t>
      </w:r>
      <w:r w:rsidR="0004014A">
        <w:t xml:space="preserve"> </w:t>
      </w:r>
      <w:r w:rsidR="00FF0019">
        <w:t xml:space="preserve">pour remplacer la démarche de la masse concentrée utilisé </w:t>
      </w:r>
      <w:r w:rsidR="005B046F">
        <w:t>précédemment</w:t>
      </w:r>
      <w:r w:rsidR="0044483E">
        <w:t xml:space="preserve">, qui peut surestimer la différence de la température </w:t>
      </w:r>
      <w:r w:rsidR="0044483E" w:rsidRPr="0044483E">
        <w:rPr>
          <w:b/>
        </w:rPr>
        <w:fldChar w:fldCharType="begin"/>
      </w:r>
      <w:r w:rsidR="0044483E" w:rsidRPr="0044483E">
        <w:rPr>
          <w:b/>
        </w:rPr>
        <w:instrText xml:space="preserve"> REF _Ref523227901 \r \h </w:instrText>
      </w:r>
      <w:r w:rsidR="0044483E" w:rsidRPr="0044483E">
        <w:rPr>
          <w:b/>
        </w:rPr>
      </w:r>
      <w:r w:rsidR="0044483E">
        <w:rPr>
          <w:b/>
        </w:rPr>
        <w:instrText xml:space="preserve"> \* MERGEFORMAT </w:instrText>
      </w:r>
      <w:r w:rsidR="0044483E" w:rsidRPr="0044483E">
        <w:rPr>
          <w:b/>
        </w:rPr>
        <w:fldChar w:fldCharType="separate"/>
      </w:r>
      <w:r w:rsidR="0044483E" w:rsidRPr="0044483E">
        <w:rPr>
          <w:b/>
        </w:rPr>
        <w:t>[20]</w:t>
      </w:r>
      <w:r w:rsidR="0044483E" w:rsidRPr="0044483E">
        <w:rPr>
          <w:b/>
        </w:rPr>
        <w:fldChar w:fldCharType="end"/>
      </w:r>
      <w:r w:rsidR="00FF0019">
        <w:t xml:space="preserve">. </w:t>
      </w:r>
      <w:r w:rsidR="005B046F">
        <w:t xml:space="preserve">Cette méthode a considéré le moment introduit par la rotation hors l’axe axiale. </w:t>
      </w:r>
    </w:p>
    <w:p w14:paraId="08EAD911" w14:textId="77777777" w:rsidR="00D14B4B" w:rsidRPr="00A06579" w:rsidRDefault="00D14B4B" w:rsidP="00DA4E21"/>
    <w:p w14:paraId="34960B10" w14:textId="77777777" w:rsidR="00D14B4B" w:rsidRPr="00A06579" w:rsidRDefault="00D14B4B" w:rsidP="00DA4E21"/>
    <w:p w14:paraId="3C4A5B59" w14:textId="77777777" w:rsidR="007D3FB3" w:rsidRPr="00133B2E" w:rsidRDefault="007D3FB3" w:rsidP="007D3FB3">
      <w:pPr>
        <w:pStyle w:val="Titre1"/>
      </w:pPr>
      <w:r w:rsidRPr="00133B2E">
        <w:t>Référence:</w:t>
      </w:r>
    </w:p>
    <w:p w14:paraId="3C4A5B5A" w14:textId="77777777" w:rsidR="007D3FB3" w:rsidRPr="00133B2E" w:rsidRDefault="007D3FB3" w:rsidP="007D3FB3"/>
    <w:p w14:paraId="3C4A5B5B" w14:textId="6C9E4D49" w:rsidR="007D3FB3" w:rsidRDefault="007D3FB3" w:rsidP="00AD3E98">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bookmarkStart w:id="10" w:name="_Ref444178598"/>
      <w:r w:rsidRPr="00133B2E">
        <w:rPr>
          <w:rFonts w:asciiTheme="minorHAnsi" w:hAnsiTheme="minorHAnsi"/>
        </w:rPr>
        <w:t>P.Keogh and P.Morton, “Journal bearing differential heating evaluation with influence on rotor dynamic behav</w:t>
      </w:r>
      <w:r w:rsidRPr="00A22718">
        <w:rPr>
          <w:rFonts w:asciiTheme="minorHAnsi" w:hAnsiTheme="minorHAnsi"/>
          <w:lang w:val="en-US"/>
        </w:rPr>
        <w:t>ior”, Proceeding of the Royal society of London. Series A: Mathematical and physical Sciences, Vol.441, pp.527-548, 1993.</w:t>
      </w:r>
      <w:bookmarkEnd w:id="10"/>
    </w:p>
    <w:p w14:paraId="1007ECF2" w14:textId="5DDCFBFD" w:rsidR="008042D7" w:rsidRDefault="008042D7" w:rsidP="00AD3E98">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bookmarkStart w:id="11" w:name="_Ref523082734"/>
      <w:r w:rsidRPr="008042D7">
        <w:rPr>
          <w:rFonts w:asciiTheme="minorHAnsi" w:hAnsiTheme="minorHAnsi"/>
          <w:lang w:val="en-US"/>
        </w:rPr>
        <w:t>P.</w:t>
      </w:r>
      <w:r>
        <w:rPr>
          <w:rFonts w:asciiTheme="minorHAnsi" w:hAnsiTheme="minorHAnsi"/>
          <w:lang w:val="en-US"/>
        </w:rPr>
        <w:t xml:space="preserve">Keogh </w:t>
      </w:r>
      <w:r w:rsidRPr="008042D7">
        <w:rPr>
          <w:rFonts w:asciiTheme="minorHAnsi" w:hAnsiTheme="minorHAnsi"/>
          <w:lang w:val="en-US"/>
        </w:rPr>
        <w:t xml:space="preserve">and P.Morton, </w:t>
      </w:r>
      <w:r>
        <w:rPr>
          <w:rFonts w:asciiTheme="minorHAnsi" w:hAnsiTheme="minorHAnsi"/>
          <w:lang w:val="en-US"/>
        </w:rPr>
        <w:t>“</w:t>
      </w:r>
      <w:r w:rsidRPr="008042D7">
        <w:rPr>
          <w:rFonts w:asciiTheme="minorHAnsi" w:hAnsiTheme="minorHAnsi"/>
          <w:lang w:val="en-US"/>
        </w:rPr>
        <w:t xml:space="preserve">The Dynamic Nature of Rotor Thermal Bending Due to Unsteady Lubricant Shearing Within a Bearing,” Proc. R. Soc. London, Ser. A: Math. Phys. Sci., 445(1924), pp. 273– </w:t>
      </w:r>
      <w:r>
        <w:rPr>
          <w:rFonts w:asciiTheme="minorHAnsi" w:hAnsiTheme="minorHAnsi"/>
          <w:lang w:val="en-US"/>
        </w:rPr>
        <w:t>290, 1994.</w:t>
      </w:r>
      <w:bookmarkEnd w:id="11"/>
    </w:p>
    <w:p w14:paraId="01BC0CD4" w14:textId="2D6A7E6B" w:rsidR="00186667" w:rsidRPr="00186667" w:rsidRDefault="00186667" w:rsidP="00AD3E98">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bookmarkStart w:id="12" w:name="_Ref444180595"/>
      <w:r w:rsidRPr="00A22718">
        <w:rPr>
          <w:rFonts w:asciiTheme="minorHAnsi" w:hAnsiTheme="minorHAnsi"/>
          <w:lang w:val="en-US"/>
        </w:rPr>
        <w:t>A.Dimorgonas, “Packing Rub Effect in Rotating Machinery,” Ph.D. thesis, RPI, Troy, NY. 1970.</w:t>
      </w:r>
      <w:bookmarkEnd w:id="12"/>
    </w:p>
    <w:p w14:paraId="486F1A92" w14:textId="08CFC7C4" w:rsidR="00F91423" w:rsidRDefault="00333B7C" w:rsidP="00AD3E98">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bookmarkStart w:id="13" w:name="_Ref523083697"/>
      <w:r w:rsidRPr="00333B7C">
        <w:rPr>
          <w:rFonts w:asciiTheme="minorHAnsi" w:hAnsiTheme="minorHAnsi"/>
          <w:lang w:val="en-US"/>
        </w:rPr>
        <w:t>F.</w:t>
      </w:r>
      <w:r>
        <w:rPr>
          <w:rFonts w:asciiTheme="minorHAnsi" w:hAnsiTheme="minorHAnsi"/>
          <w:lang w:val="en-US"/>
        </w:rPr>
        <w:t xml:space="preserve"> de</w:t>
      </w:r>
      <w:r w:rsidRPr="00333B7C">
        <w:rPr>
          <w:rFonts w:asciiTheme="minorHAnsi" w:hAnsiTheme="minorHAnsi"/>
          <w:lang w:val="en-US"/>
        </w:rPr>
        <w:t xml:space="preserve"> Jongh and P.</w:t>
      </w:r>
      <w:r>
        <w:rPr>
          <w:rFonts w:asciiTheme="minorHAnsi" w:hAnsiTheme="minorHAnsi"/>
          <w:lang w:val="en-US"/>
        </w:rPr>
        <w:t xml:space="preserve"> Van Der Hoeven, eds.,</w:t>
      </w:r>
      <w:r w:rsidRPr="00333B7C">
        <w:rPr>
          <w:rFonts w:asciiTheme="minorHAnsi" w:hAnsiTheme="minorHAnsi"/>
          <w:lang w:val="en-US"/>
        </w:rPr>
        <w:t>“Application of a Heat Barrier Sleeve to Prevent Synchronous Rotor Instability,” 27th Turbomachinery Symposium,</w:t>
      </w:r>
      <w:r w:rsidR="00944429">
        <w:rPr>
          <w:rFonts w:asciiTheme="minorHAnsi" w:hAnsiTheme="minorHAnsi"/>
          <w:lang w:val="en-US"/>
        </w:rPr>
        <w:t xml:space="preserve"> College Station, TX, pp. 17–26</w:t>
      </w:r>
      <w:r>
        <w:rPr>
          <w:rFonts w:asciiTheme="minorHAnsi" w:hAnsiTheme="minorHAnsi"/>
          <w:lang w:val="en-US"/>
        </w:rPr>
        <w:t>, 1998.</w:t>
      </w:r>
      <w:bookmarkEnd w:id="13"/>
    </w:p>
    <w:p w14:paraId="262F6E2A" w14:textId="28AFAEEE" w:rsidR="00665CE9" w:rsidRDefault="00665CE9" w:rsidP="00AD3E98">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bookmarkStart w:id="14" w:name="_Ref523085716"/>
      <w:r w:rsidRPr="00665CE9">
        <w:rPr>
          <w:rFonts w:asciiTheme="minorHAnsi" w:hAnsiTheme="minorHAnsi"/>
          <w:lang w:val="en-US"/>
        </w:rPr>
        <w:t>F.</w:t>
      </w:r>
      <w:r>
        <w:rPr>
          <w:rFonts w:asciiTheme="minorHAnsi" w:hAnsiTheme="minorHAnsi"/>
          <w:lang w:val="en-US"/>
        </w:rPr>
        <w:t xml:space="preserve"> </w:t>
      </w:r>
      <w:r w:rsidRPr="00665CE9">
        <w:rPr>
          <w:rFonts w:asciiTheme="minorHAnsi" w:hAnsiTheme="minorHAnsi"/>
          <w:lang w:val="en-US"/>
        </w:rPr>
        <w:t>de Jongh and P.</w:t>
      </w:r>
      <w:r>
        <w:rPr>
          <w:rFonts w:asciiTheme="minorHAnsi" w:hAnsiTheme="minorHAnsi"/>
          <w:lang w:val="en-US"/>
        </w:rPr>
        <w:t xml:space="preserve"> </w:t>
      </w:r>
      <w:r w:rsidRPr="00665CE9">
        <w:rPr>
          <w:rFonts w:asciiTheme="minorHAnsi" w:hAnsiTheme="minorHAnsi"/>
          <w:lang w:val="en-US"/>
        </w:rPr>
        <w:t>Morton, "The Synchronous Instability of a Compressor Rotor due to Bearing Journal Differential Heating," International Gas Turbine and Aeroengine Congress and Exposition, Hague, Netherlands, doi:10.1115/94-GT-035.</w:t>
      </w:r>
      <w:r w:rsidR="00100D8A">
        <w:rPr>
          <w:rFonts w:asciiTheme="minorHAnsi" w:hAnsiTheme="minorHAnsi"/>
          <w:lang w:val="en-US"/>
        </w:rPr>
        <w:t xml:space="preserve"> 1994.</w:t>
      </w:r>
      <w:bookmarkEnd w:id="14"/>
    </w:p>
    <w:p w14:paraId="22B0DBF2" w14:textId="38DFF2BB" w:rsidR="00214DA2" w:rsidRPr="00214DA2" w:rsidRDefault="00214DA2" w:rsidP="00AD3E98">
      <w:pPr>
        <w:pStyle w:val="Paragraphedeliste"/>
        <w:numPr>
          <w:ilvl w:val="0"/>
          <w:numId w:val="2"/>
        </w:numPr>
        <w:jc w:val="both"/>
        <w:rPr>
          <w:lang w:val="en-US" w:eastAsia="en-US"/>
        </w:rPr>
      </w:pPr>
      <w:bookmarkStart w:id="15" w:name="_Ref523086107"/>
      <w:r w:rsidRPr="00214DA2">
        <w:rPr>
          <w:lang w:val="en-US" w:eastAsia="en-US"/>
        </w:rPr>
        <w:t>B.T.</w:t>
      </w:r>
      <w:r>
        <w:rPr>
          <w:lang w:val="en-US" w:eastAsia="en-US"/>
        </w:rPr>
        <w:t xml:space="preserve"> </w:t>
      </w:r>
      <w:r w:rsidRPr="00214DA2">
        <w:rPr>
          <w:lang w:val="en-US" w:eastAsia="en-US"/>
        </w:rPr>
        <w:t>Murphy, and J.A.</w:t>
      </w:r>
      <w:r>
        <w:rPr>
          <w:lang w:val="en-US" w:eastAsia="en-US"/>
        </w:rPr>
        <w:t xml:space="preserve"> </w:t>
      </w:r>
      <w:r w:rsidRPr="00214DA2">
        <w:rPr>
          <w:lang w:val="en-US" w:eastAsia="en-US"/>
        </w:rPr>
        <w:t xml:space="preserve">Lorenz, 2010, </w:t>
      </w:r>
      <w:r w:rsidR="00AD3E98">
        <w:rPr>
          <w:lang w:val="en-US" w:eastAsia="en-US"/>
        </w:rPr>
        <w:t>“</w:t>
      </w:r>
      <w:r w:rsidRPr="00214DA2">
        <w:rPr>
          <w:lang w:val="en-US" w:eastAsia="en-US"/>
        </w:rPr>
        <w:t>Simplified Morton Effect Analysis for Synchronous Spiral Instability</w:t>
      </w:r>
      <w:r w:rsidR="00AD3E98">
        <w:rPr>
          <w:lang w:val="en-US" w:eastAsia="en-US"/>
        </w:rPr>
        <w:t>”</w:t>
      </w:r>
      <w:r w:rsidRPr="00214DA2">
        <w:rPr>
          <w:lang w:val="en-US" w:eastAsia="en-US"/>
        </w:rPr>
        <w:t>, ASME Journal of Vibration and Acoustics, Vol. 132, October, 2010</w:t>
      </w:r>
      <w:bookmarkEnd w:id="15"/>
    </w:p>
    <w:p w14:paraId="75F29778" w14:textId="5107CBDD" w:rsidR="00214DA2" w:rsidRPr="00214DA2" w:rsidRDefault="00AD3E98" w:rsidP="00AD3E98">
      <w:pPr>
        <w:pStyle w:val="Paragraphedeliste"/>
        <w:numPr>
          <w:ilvl w:val="0"/>
          <w:numId w:val="2"/>
        </w:numPr>
        <w:jc w:val="both"/>
        <w:rPr>
          <w:lang w:val="en-US" w:eastAsia="en-US"/>
        </w:rPr>
      </w:pPr>
      <w:bookmarkStart w:id="16" w:name="_Ref523086492"/>
      <w:r w:rsidRPr="00214DA2">
        <w:rPr>
          <w:lang w:val="en-US" w:eastAsia="en-US"/>
        </w:rPr>
        <w:t>B.T.</w:t>
      </w:r>
      <w:r>
        <w:rPr>
          <w:lang w:val="en-US" w:eastAsia="en-US"/>
        </w:rPr>
        <w:t xml:space="preserve"> </w:t>
      </w:r>
      <w:r w:rsidRPr="00214DA2">
        <w:rPr>
          <w:lang w:val="en-US" w:eastAsia="en-US"/>
        </w:rPr>
        <w:t>Murphy, and J.A.</w:t>
      </w:r>
      <w:r>
        <w:rPr>
          <w:lang w:val="en-US" w:eastAsia="en-US"/>
        </w:rPr>
        <w:t xml:space="preserve"> </w:t>
      </w:r>
      <w:r w:rsidRPr="00214DA2">
        <w:rPr>
          <w:lang w:val="en-US" w:eastAsia="en-US"/>
        </w:rPr>
        <w:t>Lorenz,</w:t>
      </w:r>
      <w:r w:rsidR="00214DA2" w:rsidRPr="00214DA2">
        <w:rPr>
          <w:lang w:val="en-US" w:eastAsia="en-US"/>
        </w:rPr>
        <w:t xml:space="preserve"> </w:t>
      </w:r>
      <w:r>
        <w:rPr>
          <w:lang w:val="en-US" w:eastAsia="en-US"/>
        </w:rPr>
        <w:t>“</w:t>
      </w:r>
      <w:r w:rsidR="00214DA2" w:rsidRPr="00214DA2">
        <w:rPr>
          <w:lang w:val="en-US" w:eastAsia="en-US"/>
        </w:rPr>
        <w:t>Case Study of Morton Effect Shaft Differential Heating in a Variable-Speed Rotating Electric Machine, Proceedings of GT2011, ASME Turbo Expo, June 6-11 2011, BC, Canada</w:t>
      </w:r>
      <w:bookmarkEnd w:id="16"/>
    </w:p>
    <w:p w14:paraId="1573BA2C" w14:textId="04C610B2" w:rsidR="00FE6A3E" w:rsidRPr="00A22718" w:rsidRDefault="00F23CB8" w:rsidP="00FE6A3E">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bookmarkStart w:id="17" w:name="_Ref444181331"/>
      <w:r>
        <w:rPr>
          <w:rFonts w:asciiTheme="minorHAnsi" w:hAnsiTheme="minorHAnsi"/>
          <w:lang w:val="en-US"/>
        </w:rPr>
        <w:t>A.C. Balbahadur and G</w:t>
      </w:r>
      <w:r w:rsidR="00FE6A3E" w:rsidRPr="00A22718">
        <w:rPr>
          <w:rFonts w:asciiTheme="minorHAnsi" w:hAnsiTheme="minorHAnsi"/>
          <w:lang w:val="en-US"/>
        </w:rPr>
        <w:t>.Kirk, “Part I-theoretical model for a synchronous thermal instability operating in overhung rotors”, International Journal of Rotating Machinery, vol. 10, pp.447-487, 2004.</w:t>
      </w:r>
      <w:bookmarkEnd w:id="17"/>
    </w:p>
    <w:p w14:paraId="13B9D8F8" w14:textId="37CABF95" w:rsidR="00FE6A3E" w:rsidRPr="00A22718" w:rsidRDefault="00FE6A3E" w:rsidP="00FE6A3E">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bookmarkStart w:id="18" w:name="_Ref444181446"/>
      <w:r w:rsidRPr="00A22718">
        <w:rPr>
          <w:rFonts w:asciiTheme="minorHAnsi" w:hAnsiTheme="minorHAnsi"/>
          <w:lang w:val="en-US"/>
        </w:rPr>
        <w:t xml:space="preserve">A.C. Balbahadur and </w:t>
      </w:r>
      <w:r w:rsidR="00F23CB8">
        <w:rPr>
          <w:rFonts w:asciiTheme="minorHAnsi" w:hAnsiTheme="minorHAnsi"/>
          <w:lang w:val="en-US"/>
        </w:rPr>
        <w:t>G</w:t>
      </w:r>
      <w:r w:rsidRPr="00A22718">
        <w:rPr>
          <w:rFonts w:asciiTheme="minorHAnsi" w:hAnsiTheme="minorHAnsi"/>
          <w:lang w:val="en-US"/>
        </w:rPr>
        <w:t>.Kirk, “Part II-Case Studies for a Synchronous Thermal instability operating in Overhung Rotors”, International Journal of Rotating Machinery, vol. 10, pp.447-487, 2004</w:t>
      </w:r>
      <w:bookmarkEnd w:id="18"/>
    </w:p>
    <w:p w14:paraId="5BC5514C" w14:textId="77777777" w:rsidR="00FE6A3E" w:rsidRPr="00A22718" w:rsidRDefault="00FE6A3E" w:rsidP="00FE6A3E">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bookmarkStart w:id="19" w:name="_Ref442884527"/>
      <w:r w:rsidRPr="00A22718">
        <w:rPr>
          <w:rFonts w:asciiTheme="minorHAnsi" w:hAnsiTheme="minorHAnsi"/>
          <w:lang w:val="en-US"/>
        </w:rPr>
        <w:t>A.C. Balbahadur, 'A Thermoelastohydrodynamic Model of the Morton Effect Operating in Overhung Rotors Supported by Plain or Tilting Pad Journal Bearings', PhD Thesis, Virginia Polytechnic Institute and University, 2001.</w:t>
      </w:r>
      <w:bookmarkEnd w:id="19"/>
    </w:p>
    <w:p w14:paraId="76D69F79" w14:textId="78E52364" w:rsidR="00214DA2" w:rsidRDefault="001E02B9" w:rsidP="001E02B9">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r>
        <w:rPr>
          <w:rFonts w:asciiTheme="minorHAnsi" w:hAnsiTheme="minorHAnsi"/>
          <w:lang w:val="en-US"/>
        </w:rPr>
        <w:t xml:space="preserve"> </w:t>
      </w:r>
      <w:bookmarkStart w:id="20" w:name="_Ref523089885"/>
      <w:r w:rsidR="00BB2C19" w:rsidRPr="001E02B9">
        <w:rPr>
          <w:rFonts w:asciiTheme="minorHAnsi" w:hAnsiTheme="minorHAnsi"/>
          <w:lang w:val="en-US"/>
        </w:rPr>
        <w:t>G.</w:t>
      </w:r>
      <w:r w:rsidR="0053160B">
        <w:rPr>
          <w:rFonts w:asciiTheme="minorHAnsi" w:hAnsiTheme="minorHAnsi"/>
          <w:lang w:val="en-US"/>
        </w:rPr>
        <w:t xml:space="preserve"> </w:t>
      </w:r>
      <w:r w:rsidRPr="001E02B9">
        <w:rPr>
          <w:rFonts w:asciiTheme="minorHAnsi" w:hAnsiTheme="minorHAnsi"/>
          <w:lang w:val="en-US"/>
        </w:rPr>
        <w:t>Kirk</w:t>
      </w:r>
      <w:r w:rsidR="00BB2C19">
        <w:rPr>
          <w:rFonts w:asciiTheme="minorHAnsi" w:hAnsiTheme="minorHAnsi"/>
          <w:lang w:val="en-US"/>
        </w:rPr>
        <w:t xml:space="preserve"> </w:t>
      </w:r>
      <w:r w:rsidRPr="001E02B9">
        <w:rPr>
          <w:rFonts w:asciiTheme="minorHAnsi" w:hAnsiTheme="minorHAnsi"/>
          <w:lang w:val="en-US"/>
        </w:rPr>
        <w:t xml:space="preserve">and </w:t>
      </w:r>
      <w:r w:rsidR="00BB2C19" w:rsidRPr="001E02B9">
        <w:rPr>
          <w:rFonts w:asciiTheme="minorHAnsi" w:hAnsiTheme="minorHAnsi"/>
          <w:lang w:val="en-US"/>
        </w:rPr>
        <w:t>Z.</w:t>
      </w:r>
      <w:r w:rsidR="0053160B">
        <w:rPr>
          <w:rFonts w:asciiTheme="minorHAnsi" w:hAnsiTheme="minorHAnsi"/>
          <w:lang w:val="en-US"/>
        </w:rPr>
        <w:t xml:space="preserve"> </w:t>
      </w:r>
      <w:r w:rsidRPr="001E02B9">
        <w:rPr>
          <w:rFonts w:asciiTheme="minorHAnsi" w:hAnsiTheme="minorHAnsi"/>
          <w:lang w:val="en-US"/>
        </w:rPr>
        <w:t>Guo, "Design Tool for Prediction of Thermal Synchronous Instability," ASME International Design Engineering Technical Conferences and Computers and Information in Engineering Co</w:t>
      </w:r>
      <w:r w:rsidR="002C31D9">
        <w:rPr>
          <w:rFonts w:asciiTheme="minorHAnsi" w:hAnsiTheme="minorHAnsi"/>
          <w:lang w:val="en-US"/>
        </w:rPr>
        <w:t>nference, Portland, Oregon, USA, 2013.</w:t>
      </w:r>
      <w:bookmarkEnd w:id="20"/>
      <w:r w:rsidR="002C31D9">
        <w:rPr>
          <w:rFonts w:asciiTheme="minorHAnsi" w:hAnsiTheme="minorHAnsi"/>
          <w:lang w:val="en-US"/>
        </w:rPr>
        <w:t xml:space="preserve"> </w:t>
      </w:r>
    </w:p>
    <w:p w14:paraId="6DC1D68A" w14:textId="6B0FC9F2" w:rsidR="0053160B" w:rsidRDefault="0053160B" w:rsidP="0053160B">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r>
        <w:rPr>
          <w:rFonts w:asciiTheme="minorHAnsi" w:hAnsiTheme="minorHAnsi"/>
          <w:lang w:val="en-US"/>
        </w:rPr>
        <w:t xml:space="preserve"> </w:t>
      </w:r>
      <w:bookmarkStart w:id="21" w:name="_Ref523090891"/>
      <w:r w:rsidRPr="0053160B">
        <w:rPr>
          <w:rFonts w:asciiTheme="minorHAnsi" w:hAnsiTheme="minorHAnsi"/>
          <w:lang w:val="en-US"/>
        </w:rPr>
        <w:t>J.</w:t>
      </w:r>
      <w:r>
        <w:rPr>
          <w:rFonts w:asciiTheme="minorHAnsi" w:hAnsiTheme="minorHAnsi"/>
          <w:lang w:val="en-US"/>
        </w:rPr>
        <w:t xml:space="preserve"> </w:t>
      </w:r>
      <w:r w:rsidRPr="0053160B">
        <w:rPr>
          <w:rFonts w:asciiTheme="minorHAnsi" w:hAnsiTheme="minorHAnsi"/>
          <w:lang w:val="en-US"/>
        </w:rPr>
        <w:t>Schmied, J.</w:t>
      </w:r>
      <w:r>
        <w:rPr>
          <w:rFonts w:asciiTheme="minorHAnsi" w:hAnsiTheme="minorHAnsi"/>
          <w:lang w:val="en-US"/>
        </w:rPr>
        <w:t xml:space="preserve"> </w:t>
      </w:r>
      <w:r w:rsidRPr="0053160B">
        <w:rPr>
          <w:rFonts w:asciiTheme="minorHAnsi" w:hAnsiTheme="minorHAnsi"/>
          <w:lang w:val="en-US"/>
        </w:rPr>
        <w:t>Pozivil and</w:t>
      </w:r>
      <w:r>
        <w:rPr>
          <w:rFonts w:asciiTheme="minorHAnsi" w:hAnsiTheme="minorHAnsi"/>
          <w:lang w:val="en-US"/>
        </w:rPr>
        <w:t xml:space="preserve"> </w:t>
      </w:r>
      <w:r w:rsidRPr="0053160B">
        <w:rPr>
          <w:rFonts w:asciiTheme="minorHAnsi" w:hAnsiTheme="minorHAnsi"/>
          <w:lang w:val="en-US"/>
        </w:rPr>
        <w:t>J. Walch, "Hot Spots in Turboexpander Bearings: Case History, Stability Analysis, Measurements and Operational Experience," ASME 2008 Turbo Expo: Power for Land, Sea, and Air, Berlin, Germany, pp. 1267-1277</w:t>
      </w:r>
      <w:r w:rsidR="00AE2F2A">
        <w:rPr>
          <w:rFonts w:asciiTheme="minorHAnsi" w:hAnsiTheme="minorHAnsi"/>
          <w:lang w:val="en-US"/>
        </w:rPr>
        <w:t>,</w:t>
      </w:r>
      <w:r w:rsidR="00AE2F2A" w:rsidRPr="00AE2F2A">
        <w:rPr>
          <w:rFonts w:asciiTheme="minorHAnsi" w:hAnsiTheme="minorHAnsi"/>
          <w:lang w:val="en-US"/>
        </w:rPr>
        <w:t xml:space="preserve"> </w:t>
      </w:r>
      <w:r w:rsidR="00AE2F2A" w:rsidRPr="0053160B">
        <w:rPr>
          <w:rFonts w:asciiTheme="minorHAnsi" w:hAnsiTheme="minorHAnsi"/>
          <w:lang w:val="en-US"/>
        </w:rPr>
        <w:t>2008</w:t>
      </w:r>
      <w:r w:rsidR="00AE2F2A">
        <w:rPr>
          <w:rFonts w:asciiTheme="minorHAnsi" w:hAnsiTheme="minorHAnsi"/>
          <w:lang w:val="en-US"/>
        </w:rPr>
        <w:t>.</w:t>
      </w:r>
      <w:bookmarkEnd w:id="21"/>
    </w:p>
    <w:p w14:paraId="57C33CD4" w14:textId="1B690EE5" w:rsidR="00BA2AB0" w:rsidRPr="00BA2AB0" w:rsidRDefault="00B92E40" w:rsidP="00BA2AB0">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r>
        <w:rPr>
          <w:rFonts w:asciiTheme="minorHAnsi" w:hAnsiTheme="minorHAnsi"/>
          <w:lang w:val="en-US"/>
        </w:rPr>
        <w:t xml:space="preserve"> </w:t>
      </w:r>
      <w:bookmarkStart w:id="22" w:name="_Ref523091267"/>
      <w:r w:rsidR="00BA2AB0" w:rsidRPr="00BA2AB0">
        <w:rPr>
          <w:rFonts w:asciiTheme="minorHAnsi" w:hAnsiTheme="minorHAnsi"/>
          <w:lang w:val="en-US"/>
        </w:rPr>
        <w:t>J.</w:t>
      </w:r>
      <w:r w:rsidR="00BA2AB0">
        <w:rPr>
          <w:rFonts w:asciiTheme="minorHAnsi" w:hAnsiTheme="minorHAnsi"/>
          <w:lang w:val="en-US"/>
        </w:rPr>
        <w:t xml:space="preserve"> </w:t>
      </w:r>
      <w:r w:rsidR="00BA2AB0" w:rsidRPr="00BA2AB0">
        <w:rPr>
          <w:rFonts w:asciiTheme="minorHAnsi" w:hAnsiTheme="minorHAnsi"/>
          <w:lang w:val="en-US"/>
        </w:rPr>
        <w:t>Schmied, "Spiral Vibrations of Rotors," Proceedings of the AS</w:t>
      </w:r>
      <w:r w:rsidR="00BA2AB0">
        <w:rPr>
          <w:rFonts w:asciiTheme="minorHAnsi" w:hAnsiTheme="minorHAnsi"/>
          <w:lang w:val="en-US"/>
        </w:rPr>
        <w:t>ME Design Technology Conference,</w:t>
      </w:r>
      <w:r w:rsidR="00BA2AB0" w:rsidRPr="00BA2AB0">
        <w:rPr>
          <w:rFonts w:asciiTheme="minorHAnsi" w:hAnsiTheme="minorHAnsi"/>
          <w:lang w:val="en-US"/>
        </w:rPr>
        <w:t xml:space="preserve"> </w:t>
      </w:r>
      <w:r w:rsidR="00BA2AB0">
        <w:rPr>
          <w:rFonts w:asciiTheme="minorHAnsi" w:hAnsiTheme="minorHAnsi"/>
          <w:lang w:val="en-US"/>
        </w:rPr>
        <w:t>1987.</w:t>
      </w:r>
      <w:bookmarkEnd w:id="22"/>
    </w:p>
    <w:p w14:paraId="0E4F8C44" w14:textId="5AF7230C" w:rsidR="00534FE6" w:rsidRDefault="00534FE6" w:rsidP="00534FE6">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bookmarkStart w:id="23" w:name="_Ref523091105"/>
      <w:r w:rsidRPr="00534FE6">
        <w:rPr>
          <w:rFonts w:asciiTheme="minorHAnsi" w:hAnsiTheme="minorHAnsi"/>
          <w:lang w:val="en-US"/>
        </w:rPr>
        <w:lastRenderedPageBreak/>
        <w:t>W.</w:t>
      </w:r>
      <w:r>
        <w:rPr>
          <w:rFonts w:asciiTheme="minorHAnsi" w:hAnsiTheme="minorHAnsi"/>
          <w:lang w:val="en-US"/>
        </w:rPr>
        <w:t xml:space="preserve"> </w:t>
      </w:r>
      <w:r w:rsidRPr="00534FE6">
        <w:rPr>
          <w:rFonts w:asciiTheme="minorHAnsi" w:hAnsiTheme="minorHAnsi"/>
          <w:lang w:val="en-US"/>
        </w:rPr>
        <w:t xml:space="preserve">Kellenberger, "Spiral Vibrations due to the Seal Rings in Turbogenerators Thermally Induced Interaction between Rotor and Stator," Journal of Mechanical Design, 102(1), pp. 177-184. </w:t>
      </w:r>
      <w:r>
        <w:rPr>
          <w:rFonts w:asciiTheme="minorHAnsi" w:hAnsiTheme="minorHAnsi"/>
          <w:lang w:val="en-US"/>
        </w:rPr>
        <w:t>1980.</w:t>
      </w:r>
      <w:bookmarkEnd w:id="23"/>
    </w:p>
    <w:p w14:paraId="0BBCF414" w14:textId="69A0FEF5" w:rsidR="00E76FD9" w:rsidRPr="00A22718" w:rsidRDefault="00E76FD9" w:rsidP="00E76FD9">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bookmarkStart w:id="24" w:name="_Ref444182495"/>
      <w:r>
        <w:rPr>
          <w:rFonts w:asciiTheme="minorHAnsi" w:hAnsiTheme="minorHAnsi"/>
          <w:lang w:val="en-US"/>
        </w:rPr>
        <w:t xml:space="preserve"> </w:t>
      </w:r>
      <w:bookmarkStart w:id="25" w:name="_Ref523220306"/>
      <w:r w:rsidRPr="00A22718">
        <w:rPr>
          <w:rFonts w:asciiTheme="minorHAnsi" w:hAnsiTheme="minorHAnsi"/>
          <w:lang w:val="en-US"/>
        </w:rPr>
        <w:t>J.G.</w:t>
      </w:r>
      <w:r>
        <w:rPr>
          <w:rFonts w:asciiTheme="minorHAnsi" w:hAnsiTheme="minorHAnsi"/>
          <w:lang w:val="en-US"/>
        </w:rPr>
        <w:t xml:space="preserve"> </w:t>
      </w:r>
      <w:r w:rsidRPr="00A22718">
        <w:rPr>
          <w:rFonts w:asciiTheme="minorHAnsi" w:hAnsiTheme="minorHAnsi"/>
          <w:lang w:val="en-US"/>
        </w:rPr>
        <w:t>Lee and A.</w:t>
      </w:r>
      <w:r>
        <w:rPr>
          <w:rFonts w:asciiTheme="minorHAnsi" w:hAnsiTheme="minorHAnsi"/>
          <w:lang w:val="en-US"/>
        </w:rPr>
        <w:t xml:space="preserve"> </w:t>
      </w:r>
      <w:r w:rsidRPr="00A22718">
        <w:rPr>
          <w:rFonts w:asciiTheme="minorHAnsi" w:hAnsiTheme="minorHAnsi"/>
          <w:lang w:val="en-US"/>
        </w:rPr>
        <w:t>Palazzolo, “Morton Effect Cyclic Vibration Amplitude Determination for Tilt Pad Bearing Supported Machinery,” Journal of Tribology-Transactions of the ASME, vol.135, Jan 2013</w:t>
      </w:r>
      <w:bookmarkEnd w:id="24"/>
      <w:bookmarkEnd w:id="25"/>
    </w:p>
    <w:p w14:paraId="6AEC681F" w14:textId="4DCF43C6" w:rsidR="00E76FD9" w:rsidRPr="00A22718" w:rsidRDefault="00E76FD9" w:rsidP="00E76FD9">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bookmarkStart w:id="26" w:name="_Ref444184104"/>
      <w:r>
        <w:rPr>
          <w:rFonts w:asciiTheme="minorHAnsi" w:hAnsiTheme="minorHAnsi"/>
          <w:lang w:val="en-US"/>
        </w:rPr>
        <w:t xml:space="preserve"> </w:t>
      </w:r>
      <w:bookmarkStart w:id="27" w:name="_Ref523226789"/>
      <w:r w:rsidRPr="00A22718">
        <w:rPr>
          <w:rFonts w:asciiTheme="minorHAnsi" w:hAnsiTheme="minorHAnsi"/>
          <w:lang w:val="en-US"/>
        </w:rPr>
        <w:t>J.</w:t>
      </w:r>
      <w:r>
        <w:rPr>
          <w:rFonts w:asciiTheme="minorHAnsi" w:hAnsiTheme="minorHAnsi"/>
          <w:lang w:val="en-US"/>
        </w:rPr>
        <w:t xml:space="preserve"> </w:t>
      </w:r>
      <w:r w:rsidRPr="00A22718">
        <w:rPr>
          <w:rFonts w:asciiTheme="minorHAnsi" w:hAnsiTheme="minorHAnsi"/>
          <w:lang w:val="en-US"/>
        </w:rPr>
        <w:t>Suh and A.</w:t>
      </w:r>
      <w:r>
        <w:rPr>
          <w:rFonts w:asciiTheme="minorHAnsi" w:hAnsiTheme="minorHAnsi"/>
          <w:lang w:val="en-US"/>
        </w:rPr>
        <w:t xml:space="preserve"> </w:t>
      </w:r>
      <w:r w:rsidRPr="00A22718">
        <w:rPr>
          <w:rFonts w:asciiTheme="minorHAnsi" w:hAnsiTheme="minorHAnsi"/>
          <w:lang w:val="en-US"/>
        </w:rPr>
        <w:t>Palazzolo, “Thre-Dimensional THD Morton Effect Simulation Part I: Theoretical Model,” Journal of Tribology-Transactions of the ASME, vol.136(3), Apr 2014</w:t>
      </w:r>
      <w:bookmarkEnd w:id="26"/>
      <w:bookmarkEnd w:id="27"/>
    </w:p>
    <w:p w14:paraId="0A636AB2" w14:textId="6DE5ACF8" w:rsidR="00E76FD9" w:rsidRDefault="00E76FD9" w:rsidP="00E76FD9">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bookmarkStart w:id="28" w:name="_Ref444700358"/>
      <w:r>
        <w:rPr>
          <w:rFonts w:asciiTheme="minorHAnsi" w:hAnsiTheme="minorHAnsi"/>
          <w:lang w:val="en-US"/>
        </w:rPr>
        <w:t xml:space="preserve"> </w:t>
      </w:r>
      <w:r w:rsidRPr="00A22718">
        <w:rPr>
          <w:rFonts w:asciiTheme="minorHAnsi" w:hAnsiTheme="minorHAnsi"/>
          <w:lang w:val="en-US"/>
        </w:rPr>
        <w:t>J.</w:t>
      </w:r>
      <w:r>
        <w:rPr>
          <w:rFonts w:asciiTheme="minorHAnsi" w:hAnsiTheme="minorHAnsi"/>
          <w:lang w:val="en-US"/>
        </w:rPr>
        <w:t xml:space="preserve"> </w:t>
      </w:r>
      <w:r w:rsidRPr="00A22718">
        <w:rPr>
          <w:rFonts w:asciiTheme="minorHAnsi" w:hAnsiTheme="minorHAnsi"/>
          <w:lang w:val="en-US"/>
        </w:rPr>
        <w:t>Suh and A.</w:t>
      </w:r>
      <w:r>
        <w:rPr>
          <w:rFonts w:asciiTheme="minorHAnsi" w:hAnsiTheme="minorHAnsi"/>
          <w:lang w:val="en-US"/>
        </w:rPr>
        <w:t xml:space="preserve"> </w:t>
      </w:r>
      <w:r w:rsidRPr="00A22718">
        <w:rPr>
          <w:rFonts w:asciiTheme="minorHAnsi" w:hAnsiTheme="minorHAnsi"/>
          <w:lang w:val="en-US"/>
        </w:rPr>
        <w:t>Palazzolo, “Thre-Dimensional THD Morton Effect Simulation Part II: Advanced Modeling and Parametric Studies,” Journal of Tribology-Transactions of the ASME, vol.136(3), Apr 2014</w:t>
      </w:r>
      <w:bookmarkEnd w:id="28"/>
    </w:p>
    <w:p w14:paraId="1B2E2B53" w14:textId="5540BEF5" w:rsidR="00E146B7" w:rsidRDefault="00E146B7" w:rsidP="00E146B7">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bookmarkStart w:id="29" w:name="_Ref444181005"/>
      <w:r>
        <w:rPr>
          <w:rFonts w:asciiTheme="minorHAnsi" w:hAnsiTheme="minorHAnsi"/>
          <w:lang w:val="en-US"/>
        </w:rPr>
        <w:t xml:space="preserve"> </w:t>
      </w:r>
      <w:r w:rsidRPr="00A22718">
        <w:rPr>
          <w:rFonts w:asciiTheme="minorHAnsi" w:hAnsiTheme="minorHAnsi"/>
          <w:lang w:val="en-US"/>
        </w:rPr>
        <w:t>R.Gomiciaga and P.S.Koegh, “ Orbit Inducced Journal Temperature Variation in Hydrodynamic Bearings,” ASME Journal of Tribology , 121, pp.77-84, 1999</w:t>
      </w:r>
      <w:bookmarkEnd w:id="29"/>
    </w:p>
    <w:p w14:paraId="05CF6D8A" w14:textId="0C50FBB5" w:rsidR="00A06579" w:rsidRDefault="00A06579" w:rsidP="00A06579">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r w:rsidRPr="00A06579">
        <w:rPr>
          <w:rFonts w:asciiTheme="minorHAnsi" w:hAnsiTheme="minorHAnsi"/>
          <w:lang w:val="en-US"/>
        </w:rPr>
        <w:t xml:space="preserve"> </w:t>
      </w:r>
      <w:bookmarkStart w:id="30" w:name="_Ref523221472"/>
      <w:r w:rsidRPr="00A06579">
        <w:rPr>
          <w:rFonts w:asciiTheme="minorHAnsi" w:hAnsiTheme="minorHAnsi"/>
          <w:lang w:val="en-US"/>
        </w:rPr>
        <w:t>Z.</w:t>
      </w:r>
      <w:r w:rsidRPr="00A06579">
        <w:rPr>
          <w:rFonts w:asciiTheme="minorHAnsi" w:hAnsiTheme="minorHAnsi"/>
          <w:lang w:val="en-US"/>
        </w:rPr>
        <w:t xml:space="preserve"> </w:t>
      </w:r>
      <w:r w:rsidRPr="00A06579">
        <w:rPr>
          <w:rFonts w:asciiTheme="minorHAnsi" w:hAnsiTheme="minorHAnsi"/>
          <w:lang w:val="en-US"/>
        </w:rPr>
        <w:t xml:space="preserve">Guo, </w:t>
      </w:r>
      <w:r w:rsidRPr="00A06579">
        <w:rPr>
          <w:rFonts w:asciiTheme="minorHAnsi" w:hAnsiTheme="minorHAnsi"/>
          <w:lang w:val="en-US"/>
        </w:rPr>
        <w:t>et</w:t>
      </w:r>
      <w:r w:rsidRPr="00A06579">
        <w:rPr>
          <w:rFonts w:asciiTheme="minorHAnsi" w:hAnsiTheme="minorHAnsi"/>
          <w:lang w:val="en-US"/>
        </w:rPr>
        <w:t xml:space="preserve"> G.</w:t>
      </w:r>
      <w:r w:rsidRPr="00A06579">
        <w:rPr>
          <w:rFonts w:asciiTheme="minorHAnsi" w:hAnsiTheme="minorHAnsi"/>
          <w:lang w:val="en-US"/>
        </w:rPr>
        <w:t xml:space="preserve"> </w:t>
      </w:r>
      <w:r w:rsidR="00EB059D" w:rsidRPr="00A06579">
        <w:rPr>
          <w:rFonts w:asciiTheme="minorHAnsi" w:hAnsiTheme="minorHAnsi"/>
          <w:lang w:val="en-US"/>
        </w:rPr>
        <w:t>Kirk,</w:t>
      </w:r>
      <w:r w:rsidRPr="00A06579">
        <w:rPr>
          <w:rFonts w:asciiTheme="minorHAnsi" w:hAnsiTheme="minorHAnsi"/>
          <w:lang w:val="en-US"/>
        </w:rPr>
        <w:t xml:space="preserve"> "Morton Effect Induced Synchronous Instability in Mid-Span Rotor–Bearing</w:t>
      </w:r>
      <w:r>
        <w:rPr>
          <w:rFonts w:asciiTheme="minorHAnsi" w:hAnsiTheme="minorHAnsi"/>
          <w:lang w:val="en-US"/>
        </w:rPr>
        <w:t xml:space="preserve"> </w:t>
      </w:r>
      <w:r w:rsidRPr="00A06579">
        <w:rPr>
          <w:rFonts w:asciiTheme="minorHAnsi" w:hAnsiTheme="minorHAnsi"/>
          <w:lang w:val="en-US"/>
        </w:rPr>
        <w:t>Systems—Part I: Mechanism Study," J. Vib. Acoust., 133(6), p. 061004</w:t>
      </w:r>
      <w:r>
        <w:rPr>
          <w:rFonts w:asciiTheme="minorHAnsi" w:hAnsiTheme="minorHAnsi"/>
          <w:lang w:val="en-US"/>
        </w:rPr>
        <w:t>,</w:t>
      </w:r>
      <w:r w:rsidRPr="00A06579">
        <w:rPr>
          <w:rFonts w:asciiTheme="minorHAnsi" w:hAnsiTheme="minorHAnsi"/>
          <w:lang w:val="en-US"/>
        </w:rPr>
        <w:t xml:space="preserve"> </w:t>
      </w:r>
      <w:r w:rsidRPr="00A06579">
        <w:rPr>
          <w:rFonts w:asciiTheme="minorHAnsi" w:hAnsiTheme="minorHAnsi"/>
          <w:lang w:val="en-US"/>
        </w:rPr>
        <w:t>2011</w:t>
      </w:r>
      <w:r>
        <w:rPr>
          <w:rFonts w:asciiTheme="minorHAnsi" w:hAnsiTheme="minorHAnsi"/>
          <w:lang w:val="en-US"/>
        </w:rPr>
        <w:t>.</w:t>
      </w:r>
      <w:bookmarkEnd w:id="30"/>
    </w:p>
    <w:p w14:paraId="0063732F" w14:textId="0DFB6734" w:rsidR="004F531D" w:rsidRPr="00476601" w:rsidRDefault="004F531D" w:rsidP="004F531D">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r w:rsidRPr="00476601">
        <w:rPr>
          <w:rFonts w:asciiTheme="minorHAnsi" w:hAnsiTheme="minorHAnsi"/>
          <w:lang w:val="en-US"/>
        </w:rPr>
        <w:t xml:space="preserve"> </w:t>
      </w:r>
      <w:bookmarkStart w:id="31" w:name="_Ref523227901"/>
      <w:r w:rsidRPr="00476601">
        <w:rPr>
          <w:rFonts w:asciiTheme="minorHAnsi" w:hAnsiTheme="minorHAnsi"/>
          <w:lang w:val="en-US"/>
        </w:rPr>
        <w:t>X.</w:t>
      </w:r>
      <w:r w:rsidRPr="00476601">
        <w:rPr>
          <w:rFonts w:asciiTheme="minorHAnsi" w:hAnsiTheme="minorHAnsi"/>
          <w:lang w:val="en-US"/>
        </w:rPr>
        <w:t xml:space="preserve"> </w:t>
      </w:r>
      <w:r w:rsidRPr="00476601">
        <w:rPr>
          <w:rFonts w:asciiTheme="minorHAnsi" w:hAnsiTheme="minorHAnsi"/>
          <w:lang w:val="en-US"/>
        </w:rPr>
        <w:t>Tong, A.</w:t>
      </w:r>
      <w:r w:rsidRPr="00476601">
        <w:rPr>
          <w:rFonts w:asciiTheme="minorHAnsi" w:hAnsiTheme="minorHAnsi"/>
          <w:lang w:val="en-US"/>
        </w:rPr>
        <w:t xml:space="preserve"> </w:t>
      </w:r>
      <w:r w:rsidRPr="00476601">
        <w:rPr>
          <w:rFonts w:asciiTheme="minorHAnsi" w:hAnsiTheme="minorHAnsi"/>
          <w:lang w:val="en-US"/>
        </w:rPr>
        <w:t>Palazzolo</w:t>
      </w:r>
      <w:r w:rsidRPr="00476601">
        <w:rPr>
          <w:rFonts w:asciiTheme="minorHAnsi" w:hAnsiTheme="minorHAnsi"/>
          <w:lang w:val="en-US"/>
        </w:rPr>
        <w:t xml:space="preserve"> a</w:t>
      </w:r>
      <w:r w:rsidRPr="00476601">
        <w:rPr>
          <w:rFonts w:asciiTheme="minorHAnsi" w:hAnsiTheme="minorHAnsi"/>
          <w:lang w:val="en-US"/>
        </w:rPr>
        <w:t>nd J.</w:t>
      </w:r>
      <w:r w:rsidRPr="00476601">
        <w:rPr>
          <w:rFonts w:asciiTheme="minorHAnsi" w:hAnsiTheme="minorHAnsi"/>
          <w:lang w:val="en-US"/>
        </w:rPr>
        <w:t xml:space="preserve"> </w:t>
      </w:r>
      <w:r w:rsidRPr="00476601">
        <w:rPr>
          <w:rFonts w:asciiTheme="minorHAnsi" w:hAnsiTheme="minorHAnsi"/>
          <w:lang w:val="en-US"/>
        </w:rPr>
        <w:t>Suh, "Rotordynamic Morton Effect Simulation With Transient,</w:t>
      </w:r>
      <w:r w:rsidR="00476601">
        <w:rPr>
          <w:rFonts w:asciiTheme="minorHAnsi" w:hAnsiTheme="minorHAnsi"/>
          <w:lang w:val="en-US"/>
        </w:rPr>
        <w:t xml:space="preserve"> </w:t>
      </w:r>
      <w:r w:rsidRPr="00476601">
        <w:rPr>
          <w:rFonts w:asciiTheme="minorHAnsi" w:hAnsiTheme="minorHAnsi"/>
          <w:lang w:val="en-US"/>
        </w:rPr>
        <w:t>Thermal Shaft Bow," ASME J. Tribol., 138(3), p. 031705</w:t>
      </w:r>
      <w:r w:rsidR="002B501B">
        <w:rPr>
          <w:rFonts w:asciiTheme="minorHAnsi" w:hAnsiTheme="minorHAnsi"/>
          <w:lang w:val="en-US"/>
        </w:rPr>
        <w:t>, 2016.</w:t>
      </w:r>
      <w:bookmarkEnd w:id="31"/>
    </w:p>
    <w:p w14:paraId="1F29A1BA" w14:textId="77777777" w:rsidR="00E146B7" w:rsidRPr="004F7BFC" w:rsidRDefault="00E146B7" w:rsidP="004F7BFC">
      <w:pPr>
        <w:overflowPunct/>
        <w:autoSpaceDE/>
        <w:autoSpaceDN/>
        <w:adjustRightInd/>
        <w:spacing w:after="160" w:line="276" w:lineRule="auto"/>
        <w:ind w:left="360"/>
        <w:textAlignment w:val="auto"/>
        <w:rPr>
          <w:rFonts w:asciiTheme="minorHAnsi" w:hAnsiTheme="minorHAnsi"/>
          <w:lang w:val="en-US"/>
        </w:rPr>
      </w:pPr>
    </w:p>
    <w:p w14:paraId="5608691C" w14:textId="77777777" w:rsidR="005C42E7" w:rsidRPr="00E76FD9" w:rsidRDefault="005C42E7" w:rsidP="00E76FD9">
      <w:pPr>
        <w:overflowPunct/>
        <w:autoSpaceDE/>
        <w:autoSpaceDN/>
        <w:adjustRightInd/>
        <w:spacing w:after="160" w:line="276" w:lineRule="auto"/>
        <w:ind w:left="360"/>
        <w:textAlignment w:val="auto"/>
        <w:rPr>
          <w:rFonts w:asciiTheme="minorHAnsi" w:hAnsiTheme="minorHAnsi"/>
          <w:lang w:val="en-US"/>
        </w:rPr>
      </w:pPr>
    </w:p>
    <w:p w14:paraId="3C4A5B6E" w14:textId="77777777" w:rsidR="006049B4" w:rsidRPr="00333B7C" w:rsidRDefault="006049B4">
      <w:pPr>
        <w:rPr>
          <w:lang w:val="en-US"/>
        </w:rPr>
      </w:pPr>
    </w:p>
    <w:sectPr w:rsidR="006049B4" w:rsidRPr="00333B7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48DAAF" w14:textId="77777777" w:rsidR="00FE1987" w:rsidRDefault="00FE1987" w:rsidP="00263793">
      <w:r>
        <w:separator/>
      </w:r>
    </w:p>
  </w:endnote>
  <w:endnote w:type="continuationSeparator" w:id="0">
    <w:p w14:paraId="0AE50EA4" w14:textId="77777777" w:rsidR="00FE1987" w:rsidRDefault="00FE1987" w:rsidP="00263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CB8C00" w14:textId="77777777" w:rsidR="00FE1987" w:rsidRDefault="00FE1987" w:rsidP="00263793">
      <w:r>
        <w:separator/>
      </w:r>
    </w:p>
  </w:footnote>
  <w:footnote w:type="continuationSeparator" w:id="0">
    <w:p w14:paraId="241E6318" w14:textId="77777777" w:rsidR="00FE1987" w:rsidRDefault="00FE1987" w:rsidP="002637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4EA3C4C"/>
    <w:lvl w:ilvl="0">
      <w:start w:val="1"/>
      <w:numFmt w:val="decimal"/>
      <w:pStyle w:val="Titre1"/>
      <w:lvlText w:val="%1."/>
      <w:lvlJc w:val="left"/>
      <w:pPr>
        <w:tabs>
          <w:tab w:val="num" w:pos="0"/>
        </w:tabs>
        <w:ind w:left="567" w:hanging="566"/>
      </w:pPr>
      <w:rPr>
        <w:rFonts w:hint="default"/>
      </w:rPr>
    </w:lvl>
    <w:lvl w:ilvl="1">
      <w:start w:val="1"/>
      <w:numFmt w:val="decimal"/>
      <w:pStyle w:val="Titre2"/>
      <w:lvlText w:val="%1.%2."/>
      <w:lvlJc w:val="left"/>
      <w:pPr>
        <w:tabs>
          <w:tab w:val="num" w:pos="0"/>
        </w:tabs>
        <w:ind w:left="1418" w:hanging="708"/>
      </w:pPr>
      <w:rPr>
        <w:rFonts w:hint="default"/>
      </w:rPr>
    </w:lvl>
    <w:lvl w:ilvl="2">
      <w:start w:val="1"/>
      <w:numFmt w:val="decimal"/>
      <w:pStyle w:val="Titre3"/>
      <w:lvlText w:val="%1.%2.%3."/>
      <w:lvlJc w:val="left"/>
      <w:pPr>
        <w:tabs>
          <w:tab w:val="num" w:pos="0"/>
        </w:tabs>
        <w:ind w:left="2410" w:hanging="708"/>
      </w:pPr>
      <w:rPr>
        <w:rFonts w:hint="default"/>
      </w:rPr>
    </w:lvl>
    <w:lvl w:ilvl="3">
      <w:start w:val="1"/>
      <w:numFmt w:val="decimal"/>
      <w:pStyle w:val="Titre4"/>
      <w:lvlText w:val="%1.%2.%3.%4."/>
      <w:lvlJc w:val="left"/>
      <w:pPr>
        <w:tabs>
          <w:tab w:val="num" w:pos="0"/>
        </w:tabs>
        <w:ind w:left="3261" w:hanging="708"/>
      </w:pPr>
      <w:rPr>
        <w:rFonts w:hint="default"/>
      </w:rPr>
    </w:lvl>
    <w:lvl w:ilvl="4">
      <w:start w:val="1"/>
      <w:numFmt w:val="decimal"/>
      <w:pStyle w:val="Titre5"/>
      <w:lvlText w:val="%1.%2.%3.%4.%5."/>
      <w:lvlJc w:val="left"/>
      <w:pPr>
        <w:tabs>
          <w:tab w:val="num" w:pos="0"/>
        </w:tabs>
        <w:ind w:left="3540" w:hanging="708"/>
      </w:pPr>
      <w:rPr>
        <w:rFonts w:hint="default"/>
      </w:rPr>
    </w:lvl>
    <w:lvl w:ilvl="5">
      <w:start w:val="1"/>
      <w:numFmt w:val="decimal"/>
      <w:pStyle w:val="Titre6"/>
      <w:lvlText w:val="%1.%2.%3.%4.%5.%6."/>
      <w:lvlJc w:val="left"/>
      <w:pPr>
        <w:tabs>
          <w:tab w:val="num" w:pos="0"/>
        </w:tabs>
        <w:ind w:left="4248" w:hanging="708"/>
      </w:pPr>
      <w:rPr>
        <w:rFonts w:hint="default"/>
      </w:rPr>
    </w:lvl>
    <w:lvl w:ilvl="6">
      <w:start w:val="1"/>
      <w:numFmt w:val="decimal"/>
      <w:pStyle w:val="Titre7"/>
      <w:lvlText w:val="%1.%2.%3.%4.%5.%6.%7."/>
      <w:lvlJc w:val="left"/>
      <w:pPr>
        <w:tabs>
          <w:tab w:val="num" w:pos="0"/>
        </w:tabs>
        <w:ind w:left="4956" w:hanging="708"/>
      </w:pPr>
      <w:rPr>
        <w:rFonts w:hint="default"/>
      </w:rPr>
    </w:lvl>
    <w:lvl w:ilvl="7">
      <w:start w:val="1"/>
      <w:numFmt w:val="decimal"/>
      <w:pStyle w:val="Titre8"/>
      <w:lvlText w:val="%1.%2.%3.%4.%5.%6.%7.%8."/>
      <w:lvlJc w:val="left"/>
      <w:pPr>
        <w:tabs>
          <w:tab w:val="num" w:pos="0"/>
        </w:tabs>
        <w:ind w:left="5664" w:hanging="708"/>
      </w:pPr>
      <w:rPr>
        <w:rFonts w:hint="default"/>
      </w:rPr>
    </w:lvl>
    <w:lvl w:ilvl="8">
      <w:start w:val="1"/>
      <w:numFmt w:val="decimal"/>
      <w:pStyle w:val="Titre9"/>
      <w:lvlText w:val="%1.%2.%3.%4.%5.%6.%7.%8.%9."/>
      <w:lvlJc w:val="left"/>
      <w:pPr>
        <w:tabs>
          <w:tab w:val="num" w:pos="0"/>
        </w:tabs>
        <w:ind w:left="6372" w:hanging="708"/>
      </w:pPr>
      <w:rPr>
        <w:rFonts w:hint="default"/>
      </w:rPr>
    </w:lvl>
  </w:abstractNum>
  <w:abstractNum w:abstractNumId="1" w15:restartNumberingAfterBreak="0">
    <w:nsid w:val="024A79B1"/>
    <w:multiLevelType w:val="hybridMultilevel"/>
    <w:tmpl w:val="4FC8391E"/>
    <w:lvl w:ilvl="0" w:tplc="0972B0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FC69D2"/>
    <w:multiLevelType w:val="hybridMultilevel"/>
    <w:tmpl w:val="A12487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5B41A6"/>
    <w:multiLevelType w:val="multilevel"/>
    <w:tmpl w:val="3F9E1E4E"/>
    <w:styleLink w:val="Style1"/>
    <w:lvl w:ilvl="0">
      <w:start w:val="1"/>
      <w:numFmt w:val="decimal"/>
      <w:lvlText w:val="Eq.%1"/>
      <w:lvlJc w:val="left"/>
      <w:pPr>
        <w:ind w:left="0" w:firstLine="0"/>
      </w:pPr>
      <w:rPr>
        <w:rFonts w:ascii="Times New Roman" w:hAnsi="Times New Roman" w:hint="default"/>
        <w:color w:val="auto"/>
        <w:sz w:val="22"/>
      </w:rPr>
    </w:lvl>
    <w:lvl w:ilvl="1">
      <w:start w:val="1"/>
      <w:numFmt w:val="decimal"/>
      <w:lvlText w:val="Eq.%1-%2"/>
      <w:lvlJc w:val="left"/>
      <w:pPr>
        <w:ind w:left="0" w:firstLine="0"/>
      </w:pPr>
      <w:rPr>
        <w:rFonts w:ascii="Times New Roman" w:hAnsi="Times New Roman" w:hint="default"/>
        <w:sz w:val="2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33BE411A"/>
    <w:multiLevelType w:val="multilevel"/>
    <w:tmpl w:val="3F9E1E4E"/>
    <w:numStyleLink w:val="Style1"/>
  </w:abstractNum>
  <w:abstractNum w:abstractNumId="5" w15:restartNumberingAfterBreak="0">
    <w:nsid w:val="3BAE3A61"/>
    <w:multiLevelType w:val="hybridMultilevel"/>
    <w:tmpl w:val="AA40007C"/>
    <w:lvl w:ilvl="0" w:tplc="0409000B">
      <w:start w:val="1"/>
      <w:numFmt w:val="bullet"/>
      <w:lvlText w:val=""/>
      <w:lvlJc w:val="left"/>
      <w:pPr>
        <w:ind w:left="1128" w:hanging="420"/>
      </w:pPr>
      <w:rPr>
        <w:rFonts w:ascii="Wingdings" w:hAnsi="Wingdings" w:hint="default"/>
      </w:rPr>
    </w:lvl>
    <w:lvl w:ilvl="1" w:tplc="04090003" w:tentative="1">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abstractNum w:abstractNumId="6" w15:restartNumberingAfterBreak="0">
    <w:nsid w:val="71924A1B"/>
    <w:multiLevelType w:val="hybridMultilevel"/>
    <w:tmpl w:val="44D05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5"/>
  </w:num>
  <w:num w:numId="6">
    <w:abstractNumId w:val="4"/>
    <w:lvlOverride w:ilvl="0">
      <w:lvl w:ilvl="0">
        <w:start w:val="1"/>
        <w:numFmt w:val="decimal"/>
        <w:lvlText w:val="Eq.%1"/>
        <w:lvlJc w:val="left"/>
        <w:pPr>
          <w:ind w:left="0" w:firstLine="0"/>
        </w:pPr>
        <w:rPr>
          <w:rFonts w:ascii="Times New Roman" w:hAnsi="Times New Roman" w:cs="Times New Roman" w:hint="default"/>
          <w:b/>
          <w:color w:val="auto"/>
          <w:sz w:val="22"/>
        </w:rPr>
      </w:lvl>
    </w:lvlOverride>
    <w:lvlOverride w:ilvl="1">
      <w:lvl w:ilvl="1">
        <w:start w:val="1"/>
        <w:numFmt w:val="decimal"/>
        <w:lvlText w:val="Eq.%1-%2"/>
        <w:lvlJc w:val="left"/>
        <w:pPr>
          <w:ind w:left="0" w:firstLine="0"/>
        </w:pPr>
        <w:rPr>
          <w:rFonts w:ascii="Times New Roman" w:hAnsi="Times New Roman" w:hint="default"/>
          <w:sz w:val="22"/>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7">
    <w:abstractNumId w:val="3"/>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E5B"/>
    <w:rsid w:val="00001A8B"/>
    <w:rsid w:val="00007748"/>
    <w:rsid w:val="00011971"/>
    <w:rsid w:val="00011EEC"/>
    <w:rsid w:val="0001341A"/>
    <w:rsid w:val="000171BB"/>
    <w:rsid w:val="00021A17"/>
    <w:rsid w:val="000306B5"/>
    <w:rsid w:val="00034DED"/>
    <w:rsid w:val="0004014A"/>
    <w:rsid w:val="000406A5"/>
    <w:rsid w:val="00044039"/>
    <w:rsid w:val="00045AD6"/>
    <w:rsid w:val="00045D12"/>
    <w:rsid w:val="00051F6E"/>
    <w:rsid w:val="000530A5"/>
    <w:rsid w:val="00053C5A"/>
    <w:rsid w:val="00063EEF"/>
    <w:rsid w:val="00071319"/>
    <w:rsid w:val="00076B1D"/>
    <w:rsid w:val="00093FB1"/>
    <w:rsid w:val="000A18F3"/>
    <w:rsid w:val="000A66DB"/>
    <w:rsid w:val="000B3C26"/>
    <w:rsid w:val="000B66E6"/>
    <w:rsid w:val="000C1695"/>
    <w:rsid w:val="000C2BC2"/>
    <w:rsid w:val="000C413A"/>
    <w:rsid w:val="000D0D5F"/>
    <w:rsid w:val="000D30F6"/>
    <w:rsid w:val="000D45C1"/>
    <w:rsid w:val="000D4ECB"/>
    <w:rsid w:val="00100D8A"/>
    <w:rsid w:val="0011138F"/>
    <w:rsid w:val="00122C82"/>
    <w:rsid w:val="00130913"/>
    <w:rsid w:val="00131747"/>
    <w:rsid w:val="001338D0"/>
    <w:rsid w:val="00133B2E"/>
    <w:rsid w:val="0014297F"/>
    <w:rsid w:val="001449BF"/>
    <w:rsid w:val="00145B76"/>
    <w:rsid w:val="001503B0"/>
    <w:rsid w:val="0015186E"/>
    <w:rsid w:val="00155DE8"/>
    <w:rsid w:val="00157A90"/>
    <w:rsid w:val="00160250"/>
    <w:rsid w:val="001620C0"/>
    <w:rsid w:val="00163A44"/>
    <w:rsid w:val="00164226"/>
    <w:rsid w:val="001655C8"/>
    <w:rsid w:val="00166AD7"/>
    <w:rsid w:val="00170E5B"/>
    <w:rsid w:val="00171CBB"/>
    <w:rsid w:val="00171F92"/>
    <w:rsid w:val="001779D2"/>
    <w:rsid w:val="0018045B"/>
    <w:rsid w:val="00181EAF"/>
    <w:rsid w:val="001829BF"/>
    <w:rsid w:val="00186038"/>
    <w:rsid w:val="00186667"/>
    <w:rsid w:val="00191289"/>
    <w:rsid w:val="00192C39"/>
    <w:rsid w:val="001A0DF1"/>
    <w:rsid w:val="001A1105"/>
    <w:rsid w:val="001A1234"/>
    <w:rsid w:val="001A67F2"/>
    <w:rsid w:val="001B0C48"/>
    <w:rsid w:val="001B2BB2"/>
    <w:rsid w:val="001C1045"/>
    <w:rsid w:val="001C1A5E"/>
    <w:rsid w:val="001C5DD8"/>
    <w:rsid w:val="001C74FB"/>
    <w:rsid w:val="001D06C9"/>
    <w:rsid w:val="001D5E83"/>
    <w:rsid w:val="001E02B9"/>
    <w:rsid w:val="001E63D8"/>
    <w:rsid w:val="001F2E20"/>
    <w:rsid w:val="001F6207"/>
    <w:rsid w:val="001F629E"/>
    <w:rsid w:val="002030BF"/>
    <w:rsid w:val="0021189E"/>
    <w:rsid w:val="00214DA2"/>
    <w:rsid w:val="002157D8"/>
    <w:rsid w:val="00216F20"/>
    <w:rsid w:val="00231228"/>
    <w:rsid w:val="002435BC"/>
    <w:rsid w:val="002437B8"/>
    <w:rsid w:val="0024651B"/>
    <w:rsid w:val="00246D55"/>
    <w:rsid w:val="002471D7"/>
    <w:rsid w:val="0025100F"/>
    <w:rsid w:val="002543F1"/>
    <w:rsid w:val="002548B6"/>
    <w:rsid w:val="00263793"/>
    <w:rsid w:val="00263CDB"/>
    <w:rsid w:val="00267638"/>
    <w:rsid w:val="0027486A"/>
    <w:rsid w:val="00275789"/>
    <w:rsid w:val="00276162"/>
    <w:rsid w:val="002817AD"/>
    <w:rsid w:val="00281F7E"/>
    <w:rsid w:val="002957D3"/>
    <w:rsid w:val="00296CF9"/>
    <w:rsid w:val="002A0835"/>
    <w:rsid w:val="002A7FB2"/>
    <w:rsid w:val="002B0546"/>
    <w:rsid w:val="002B0B90"/>
    <w:rsid w:val="002B4818"/>
    <w:rsid w:val="002B501B"/>
    <w:rsid w:val="002C0A36"/>
    <w:rsid w:val="002C1212"/>
    <w:rsid w:val="002C31D9"/>
    <w:rsid w:val="002C6EFA"/>
    <w:rsid w:val="002D445E"/>
    <w:rsid w:val="002D7D5D"/>
    <w:rsid w:val="002E09BF"/>
    <w:rsid w:val="002E0D83"/>
    <w:rsid w:val="002F05C2"/>
    <w:rsid w:val="002F1F6E"/>
    <w:rsid w:val="002F2E52"/>
    <w:rsid w:val="00303CA5"/>
    <w:rsid w:val="003054CB"/>
    <w:rsid w:val="0031531D"/>
    <w:rsid w:val="003162EC"/>
    <w:rsid w:val="00332B7D"/>
    <w:rsid w:val="0033346A"/>
    <w:rsid w:val="00333B7C"/>
    <w:rsid w:val="0033481C"/>
    <w:rsid w:val="00334A49"/>
    <w:rsid w:val="003372DD"/>
    <w:rsid w:val="0033798E"/>
    <w:rsid w:val="00341D16"/>
    <w:rsid w:val="00346324"/>
    <w:rsid w:val="00347334"/>
    <w:rsid w:val="00351152"/>
    <w:rsid w:val="0035638D"/>
    <w:rsid w:val="00361F5B"/>
    <w:rsid w:val="00365D87"/>
    <w:rsid w:val="003724EB"/>
    <w:rsid w:val="0037682F"/>
    <w:rsid w:val="003809FC"/>
    <w:rsid w:val="00384969"/>
    <w:rsid w:val="00385A67"/>
    <w:rsid w:val="003A3710"/>
    <w:rsid w:val="003A5F20"/>
    <w:rsid w:val="003B376E"/>
    <w:rsid w:val="003D4481"/>
    <w:rsid w:val="003D78E0"/>
    <w:rsid w:val="003E03DA"/>
    <w:rsid w:val="003E0D71"/>
    <w:rsid w:val="003E57F3"/>
    <w:rsid w:val="003F14A3"/>
    <w:rsid w:val="00401A1D"/>
    <w:rsid w:val="00404F4D"/>
    <w:rsid w:val="00424209"/>
    <w:rsid w:val="00424705"/>
    <w:rsid w:val="004254B5"/>
    <w:rsid w:val="004372F2"/>
    <w:rsid w:val="0044483E"/>
    <w:rsid w:val="0044575F"/>
    <w:rsid w:val="00445E0B"/>
    <w:rsid w:val="004479B8"/>
    <w:rsid w:val="00460DD1"/>
    <w:rsid w:val="0046133B"/>
    <w:rsid w:val="00464B69"/>
    <w:rsid w:val="00471312"/>
    <w:rsid w:val="0047502C"/>
    <w:rsid w:val="00476601"/>
    <w:rsid w:val="00480B90"/>
    <w:rsid w:val="00486C28"/>
    <w:rsid w:val="0049003F"/>
    <w:rsid w:val="0049141C"/>
    <w:rsid w:val="004928D9"/>
    <w:rsid w:val="004A532D"/>
    <w:rsid w:val="004B36C1"/>
    <w:rsid w:val="004B4CB9"/>
    <w:rsid w:val="004B7385"/>
    <w:rsid w:val="004C1C8B"/>
    <w:rsid w:val="004C6A52"/>
    <w:rsid w:val="004C7087"/>
    <w:rsid w:val="004D279D"/>
    <w:rsid w:val="004E23C1"/>
    <w:rsid w:val="004F04F9"/>
    <w:rsid w:val="004F20A8"/>
    <w:rsid w:val="004F4E02"/>
    <w:rsid w:val="004F531D"/>
    <w:rsid w:val="004F7BFC"/>
    <w:rsid w:val="00501EA0"/>
    <w:rsid w:val="005042BB"/>
    <w:rsid w:val="00506BEE"/>
    <w:rsid w:val="005205D5"/>
    <w:rsid w:val="005228F3"/>
    <w:rsid w:val="00522D5B"/>
    <w:rsid w:val="005307E2"/>
    <w:rsid w:val="0053160B"/>
    <w:rsid w:val="0053236E"/>
    <w:rsid w:val="00534FE6"/>
    <w:rsid w:val="005377A7"/>
    <w:rsid w:val="00540088"/>
    <w:rsid w:val="00541F5E"/>
    <w:rsid w:val="00543DC7"/>
    <w:rsid w:val="005467D3"/>
    <w:rsid w:val="0055239E"/>
    <w:rsid w:val="005539C8"/>
    <w:rsid w:val="005545AB"/>
    <w:rsid w:val="00555252"/>
    <w:rsid w:val="00556083"/>
    <w:rsid w:val="00561DB5"/>
    <w:rsid w:val="00573131"/>
    <w:rsid w:val="00574681"/>
    <w:rsid w:val="00580882"/>
    <w:rsid w:val="005965A5"/>
    <w:rsid w:val="005A1C0A"/>
    <w:rsid w:val="005A34FE"/>
    <w:rsid w:val="005A45F5"/>
    <w:rsid w:val="005A571D"/>
    <w:rsid w:val="005B046F"/>
    <w:rsid w:val="005B2A5C"/>
    <w:rsid w:val="005B521C"/>
    <w:rsid w:val="005C1E88"/>
    <w:rsid w:val="005C3724"/>
    <w:rsid w:val="005C42E7"/>
    <w:rsid w:val="005E2792"/>
    <w:rsid w:val="005E3C0F"/>
    <w:rsid w:val="005E7277"/>
    <w:rsid w:val="005F5FA8"/>
    <w:rsid w:val="005F763F"/>
    <w:rsid w:val="00601D17"/>
    <w:rsid w:val="006042CB"/>
    <w:rsid w:val="006049B4"/>
    <w:rsid w:val="00606480"/>
    <w:rsid w:val="006067EF"/>
    <w:rsid w:val="00615922"/>
    <w:rsid w:val="00623B0E"/>
    <w:rsid w:val="00627C82"/>
    <w:rsid w:val="00633AC9"/>
    <w:rsid w:val="0063636A"/>
    <w:rsid w:val="006372CA"/>
    <w:rsid w:val="00637B60"/>
    <w:rsid w:val="00641D23"/>
    <w:rsid w:val="00645733"/>
    <w:rsid w:val="006458A2"/>
    <w:rsid w:val="0065335C"/>
    <w:rsid w:val="0066265A"/>
    <w:rsid w:val="00662695"/>
    <w:rsid w:val="00665CE9"/>
    <w:rsid w:val="00667148"/>
    <w:rsid w:val="0066749D"/>
    <w:rsid w:val="00667AD4"/>
    <w:rsid w:val="00672DF8"/>
    <w:rsid w:val="00675419"/>
    <w:rsid w:val="00681B56"/>
    <w:rsid w:val="0068547F"/>
    <w:rsid w:val="00687CB6"/>
    <w:rsid w:val="00694E32"/>
    <w:rsid w:val="006A6D50"/>
    <w:rsid w:val="006D259E"/>
    <w:rsid w:val="006E0DE3"/>
    <w:rsid w:val="006E6031"/>
    <w:rsid w:val="006F147F"/>
    <w:rsid w:val="006F4D86"/>
    <w:rsid w:val="007107A8"/>
    <w:rsid w:val="00710EA2"/>
    <w:rsid w:val="00712E0D"/>
    <w:rsid w:val="0072460C"/>
    <w:rsid w:val="007331AE"/>
    <w:rsid w:val="00735B7A"/>
    <w:rsid w:val="00735F31"/>
    <w:rsid w:val="007511C7"/>
    <w:rsid w:val="00751785"/>
    <w:rsid w:val="007603BA"/>
    <w:rsid w:val="007621AD"/>
    <w:rsid w:val="00762875"/>
    <w:rsid w:val="00777CA9"/>
    <w:rsid w:val="0078551C"/>
    <w:rsid w:val="0079234E"/>
    <w:rsid w:val="00792E0B"/>
    <w:rsid w:val="007956D6"/>
    <w:rsid w:val="007A1102"/>
    <w:rsid w:val="007A13E5"/>
    <w:rsid w:val="007A7A72"/>
    <w:rsid w:val="007B067C"/>
    <w:rsid w:val="007B12AD"/>
    <w:rsid w:val="007B3A06"/>
    <w:rsid w:val="007B76C4"/>
    <w:rsid w:val="007C250C"/>
    <w:rsid w:val="007C79CE"/>
    <w:rsid w:val="007D0F68"/>
    <w:rsid w:val="007D20E7"/>
    <w:rsid w:val="007D2CD6"/>
    <w:rsid w:val="007D3FB3"/>
    <w:rsid w:val="007D5361"/>
    <w:rsid w:val="007D6DF4"/>
    <w:rsid w:val="007E66EB"/>
    <w:rsid w:val="007F1E31"/>
    <w:rsid w:val="00800332"/>
    <w:rsid w:val="008042D7"/>
    <w:rsid w:val="00804E21"/>
    <w:rsid w:val="00805DF0"/>
    <w:rsid w:val="00813646"/>
    <w:rsid w:val="00814CB6"/>
    <w:rsid w:val="0081570D"/>
    <w:rsid w:val="00822593"/>
    <w:rsid w:val="008249FC"/>
    <w:rsid w:val="008337B8"/>
    <w:rsid w:val="00833FE6"/>
    <w:rsid w:val="00846881"/>
    <w:rsid w:val="00851F03"/>
    <w:rsid w:val="008521A2"/>
    <w:rsid w:val="00854F8B"/>
    <w:rsid w:val="00855DA5"/>
    <w:rsid w:val="00864E3F"/>
    <w:rsid w:val="008710B9"/>
    <w:rsid w:val="008759B8"/>
    <w:rsid w:val="0088710B"/>
    <w:rsid w:val="00891B9B"/>
    <w:rsid w:val="00893194"/>
    <w:rsid w:val="008A021B"/>
    <w:rsid w:val="008A071C"/>
    <w:rsid w:val="008B67D7"/>
    <w:rsid w:val="008B7314"/>
    <w:rsid w:val="008C1856"/>
    <w:rsid w:val="008C34CB"/>
    <w:rsid w:val="008C539A"/>
    <w:rsid w:val="008D5D0E"/>
    <w:rsid w:val="008D7673"/>
    <w:rsid w:val="008E0250"/>
    <w:rsid w:val="008E0BDD"/>
    <w:rsid w:val="008E2656"/>
    <w:rsid w:val="008E34C3"/>
    <w:rsid w:val="008E59B9"/>
    <w:rsid w:val="008F00F8"/>
    <w:rsid w:val="008F54A1"/>
    <w:rsid w:val="008F7997"/>
    <w:rsid w:val="009016B2"/>
    <w:rsid w:val="00902D1A"/>
    <w:rsid w:val="009070DB"/>
    <w:rsid w:val="00914308"/>
    <w:rsid w:val="00925AEA"/>
    <w:rsid w:val="009306CD"/>
    <w:rsid w:val="00934608"/>
    <w:rsid w:val="00937110"/>
    <w:rsid w:val="00942AAC"/>
    <w:rsid w:val="00944429"/>
    <w:rsid w:val="0094442B"/>
    <w:rsid w:val="00955642"/>
    <w:rsid w:val="00971668"/>
    <w:rsid w:val="00972C96"/>
    <w:rsid w:val="00972D8B"/>
    <w:rsid w:val="009746D7"/>
    <w:rsid w:val="00977B31"/>
    <w:rsid w:val="00985233"/>
    <w:rsid w:val="00986167"/>
    <w:rsid w:val="00987552"/>
    <w:rsid w:val="009A26EF"/>
    <w:rsid w:val="009A4D1B"/>
    <w:rsid w:val="009C3984"/>
    <w:rsid w:val="009D35C5"/>
    <w:rsid w:val="009D47A3"/>
    <w:rsid w:val="009D68B6"/>
    <w:rsid w:val="009D6B75"/>
    <w:rsid w:val="009E33E3"/>
    <w:rsid w:val="009F1C17"/>
    <w:rsid w:val="00A0457D"/>
    <w:rsid w:val="00A06579"/>
    <w:rsid w:val="00A066C4"/>
    <w:rsid w:val="00A12F65"/>
    <w:rsid w:val="00A14AF4"/>
    <w:rsid w:val="00A200B1"/>
    <w:rsid w:val="00A2193A"/>
    <w:rsid w:val="00A23F5E"/>
    <w:rsid w:val="00A31F97"/>
    <w:rsid w:val="00A37EBD"/>
    <w:rsid w:val="00A44A0B"/>
    <w:rsid w:val="00A51DF4"/>
    <w:rsid w:val="00A53751"/>
    <w:rsid w:val="00A56379"/>
    <w:rsid w:val="00A60A77"/>
    <w:rsid w:val="00A75749"/>
    <w:rsid w:val="00A75768"/>
    <w:rsid w:val="00A763A5"/>
    <w:rsid w:val="00A771B2"/>
    <w:rsid w:val="00A81942"/>
    <w:rsid w:val="00A91872"/>
    <w:rsid w:val="00A93C8D"/>
    <w:rsid w:val="00A95FB3"/>
    <w:rsid w:val="00AA16BA"/>
    <w:rsid w:val="00AA7631"/>
    <w:rsid w:val="00AB1753"/>
    <w:rsid w:val="00AB4F3E"/>
    <w:rsid w:val="00AB72AF"/>
    <w:rsid w:val="00AB77D0"/>
    <w:rsid w:val="00AC6043"/>
    <w:rsid w:val="00AD2756"/>
    <w:rsid w:val="00AD3204"/>
    <w:rsid w:val="00AD3E98"/>
    <w:rsid w:val="00AE005B"/>
    <w:rsid w:val="00AE2F2A"/>
    <w:rsid w:val="00AE3D10"/>
    <w:rsid w:val="00AE7B92"/>
    <w:rsid w:val="00AF0B35"/>
    <w:rsid w:val="00B00194"/>
    <w:rsid w:val="00B02037"/>
    <w:rsid w:val="00B0679C"/>
    <w:rsid w:val="00B14A82"/>
    <w:rsid w:val="00B15387"/>
    <w:rsid w:val="00B2343A"/>
    <w:rsid w:val="00B25B87"/>
    <w:rsid w:val="00B25DF4"/>
    <w:rsid w:val="00B26B37"/>
    <w:rsid w:val="00B35391"/>
    <w:rsid w:val="00B36CDC"/>
    <w:rsid w:val="00B4113B"/>
    <w:rsid w:val="00B4203D"/>
    <w:rsid w:val="00B425A3"/>
    <w:rsid w:val="00B4477D"/>
    <w:rsid w:val="00B46E40"/>
    <w:rsid w:val="00B528B2"/>
    <w:rsid w:val="00B553FC"/>
    <w:rsid w:val="00B70314"/>
    <w:rsid w:val="00B71F3E"/>
    <w:rsid w:val="00B72EDB"/>
    <w:rsid w:val="00B7336F"/>
    <w:rsid w:val="00B73B5B"/>
    <w:rsid w:val="00B86A1E"/>
    <w:rsid w:val="00B90791"/>
    <w:rsid w:val="00B92E40"/>
    <w:rsid w:val="00B9639A"/>
    <w:rsid w:val="00BA105A"/>
    <w:rsid w:val="00BA2AB0"/>
    <w:rsid w:val="00BB165C"/>
    <w:rsid w:val="00BB21E2"/>
    <w:rsid w:val="00BB2C19"/>
    <w:rsid w:val="00BD1245"/>
    <w:rsid w:val="00BD16BF"/>
    <w:rsid w:val="00BD7C35"/>
    <w:rsid w:val="00BE54D0"/>
    <w:rsid w:val="00BE5511"/>
    <w:rsid w:val="00BF3674"/>
    <w:rsid w:val="00BF541F"/>
    <w:rsid w:val="00BF787F"/>
    <w:rsid w:val="00BF7F10"/>
    <w:rsid w:val="00C0611F"/>
    <w:rsid w:val="00C103C9"/>
    <w:rsid w:val="00C10DB8"/>
    <w:rsid w:val="00C12887"/>
    <w:rsid w:val="00C2203C"/>
    <w:rsid w:val="00C3121F"/>
    <w:rsid w:val="00C33476"/>
    <w:rsid w:val="00C36956"/>
    <w:rsid w:val="00C36A2F"/>
    <w:rsid w:val="00C4232F"/>
    <w:rsid w:val="00C43890"/>
    <w:rsid w:val="00C440BB"/>
    <w:rsid w:val="00C629A4"/>
    <w:rsid w:val="00C6377B"/>
    <w:rsid w:val="00C64243"/>
    <w:rsid w:val="00C712BD"/>
    <w:rsid w:val="00C720B3"/>
    <w:rsid w:val="00C74C69"/>
    <w:rsid w:val="00C9118D"/>
    <w:rsid w:val="00C95B46"/>
    <w:rsid w:val="00CB1782"/>
    <w:rsid w:val="00CB2DD5"/>
    <w:rsid w:val="00CB7272"/>
    <w:rsid w:val="00CD4A45"/>
    <w:rsid w:val="00CE0E7C"/>
    <w:rsid w:val="00CE5C18"/>
    <w:rsid w:val="00CE68EC"/>
    <w:rsid w:val="00CF40A9"/>
    <w:rsid w:val="00CF7981"/>
    <w:rsid w:val="00D00A1D"/>
    <w:rsid w:val="00D00B5E"/>
    <w:rsid w:val="00D14B4B"/>
    <w:rsid w:val="00D32C0B"/>
    <w:rsid w:val="00D32EF5"/>
    <w:rsid w:val="00D374B7"/>
    <w:rsid w:val="00D43427"/>
    <w:rsid w:val="00D55018"/>
    <w:rsid w:val="00D573ED"/>
    <w:rsid w:val="00D606A0"/>
    <w:rsid w:val="00D62D5D"/>
    <w:rsid w:val="00D712DC"/>
    <w:rsid w:val="00D72CD6"/>
    <w:rsid w:val="00D7333C"/>
    <w:rsid w:val="00D7663B"/>
    <w:rsid w:val="00D85349"/>
    <w:rsid w:val="00D86982"/>
    <w:rsid w:val="00D8728A"/>
    <w:rsid w:val="00D92B19"/>
    <w:rsid w:val="00D93706"/>
    <w:rsid w:val="00DA4E21"/>
    <w:rsid w:val="00DA4E4E"/>
    <w:rsid w:val="00DB1EF3"/>
    <w:rsid w:val="00DB3AB0"/>
    <w:rsid w:val="00DB3FAC"/>
    <w:rsid w:val="00DB4BC1"/>
    <w:rsid w:val="00DC08A0"/>
    <w:rsid w:val="00DC245B"/>
    <w:rsid w:val="00DC55A9"/>
    <w:rsid w:val="00DC63A7"/>
    <w:rsid w:val="00DD0AC7"/>
    <w:rsid w:val="00DD59D6"/>
    <w:rsid w:val="00DE6226"/>
    <w:rsid w:val="00DE7B3F"/>
    <w:rsid w:val="00DF3A15"/>
    <w:rsid w:val="00DF6D4A"/>
    <w:rsid w:val="00E146B7"/>
    <w:rsid w:val="00E15605"/>
    <w:rsid w:val="00E160FB"/>
    <w:rsid w:val="00E21D2D"/>
    <w:rsid w:val="00E25213"/>
    <w:rsid w:val="00E53E9E"/>
    <w:rsid w:val="00E5552C"/>
    <w:rsid w:val="00E56F8B"/>
    <w:rsid w:val="00E7537F"/>
    <w:rsid w:val="00E76FD9"/>
    <w:rsid w:val="00E83835"/>
    <w:rsid w:val="00E85C7B"/>
    <w:rsid w:val="00EA0000"/>
    <w:rsid w:val="00EA3624"/>
    <w:rsid w:val="00EA3CF8"/>
    <w:rsid w:val="00EB059D"/>
    <w:rsid w:val="00EC50D2"/>
    <w:rsid w:val="00ED12F2"/>
    <w:rsid w:val="00EE4630"/>
    <w:rsid w:val="00EF2286"/>
    <w:rsid w:val="00EF7172"/>
    <w:rsid w:val="00F0091F"/>
    <w:rsid w:val="00F01B6F"/>
    <w:rsid w:val="00F11CBE"/>
    <w:rsid w:val="00F11F2C"/>
    <w:rsid w:val="00F13AC0"/>
    <w:rsid w:val="00F13FC8"/>
    <w:rsid w:val="00F23CB8"/>
    <w:rsid w:val="00F25232"/>
    <w:rsid w:val="00F353DE"/>
    <w:rsid w:val="00F37C66"/>
    <w:rsid w:val="00F411A9"/>
    <w:rsid w:val="00F42540"/>
    <w:rsid w:val="00F426E3"/>
    <w:rsid w:val="00F437C7"/>
    <w:rsid w:val="00F51873"/>
    <w:rsid w:val="00F6091F"/>
    <w:rsid w:val="00F8579F"/>
    <w:rsid w:val="00F91423"/>
    <w:rsid w:val="00F9282E"/>
    <w:rsid w:val="00FA1A13"/>
    <w:rsid w:val="00FB1C5C"/>
    <w:rsid w:val="00FB3102"/>
    <w:rsid w:val="00FC370F"/>
    <w:rsid w:val="00FC74C4"/>
    <w:rsid w:val="00FD7C1C"/>
    <w:rsid w:val="00FE1987"/>
    <w:rsid w:val="00FE4018"/>
    <w:rsid w:val="00FE6A3E"/>
    <w:rsid w:val="00FF0019"/>
    <w:rsid w:val="00FF5785"/>
    <w:rsid w:val="00FF655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5ADB"/>
  <w15:chartTrackingRefBased/>
  <w15:docId w15:val="{016372BF-18B5-46CB-A6AF-4051B4D3B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93A"/>
    <w:pPr>
      <w:overflowPunct w:val="0"/>
      <w:autoSpaceDE w:val="0"/>
      <w:autoSpaceDN w:val="0"/>
      <w:adjustRightInd w:val="0"/>
      <w:spacing w:after="0" w:line="240" w:lineRule="auto"/>
      <w:jc w:val="both"/>
      <w:textAlignment w:val="baseline"/>
    </w:pPr>
    <w:rPr>
      <w:rFonts w:ascii="Calibri" w:eastAsia="Times New Roman" w:hAnsi="Calibri" w:cs="Times New Roman"/>
      <w:szCs w:val="20"/>
      <w:lang w:eastAsia="fr-FR"/>
    </w:rPr>
  </w:style>
  <w:style w:type="paragraph" w:styleId="Titre1">
    <w:name w:val="heading 1"/>
    <w:basedOn w:val="Normal"/>
    <w:next w:val="Normal"/>
    <w:link w:val="Titre1Car"/>
    <w:qFormat/>
    <w:rsid w:val="00A2193A"/>
    <w:pPr>
      <w:keepNext/>
      <w:keepLines/>
      <w:numPr>
        <w:numId w:val="1"/>
      </w:numPr>
      <w:tabs>
        <w:tab w:val="clear" w:pos="0"/>
        <w:tab w:val="left" w:pos="567"/>
      </w:tabs>
      <w:spacing w:before="240"/>
      <w:ind w:hanging="567"/>
      <w:outlineLvl w:val="0"/>
    </w:pPr>
    <w:rPr>
      <w:b/>
      <w:caps/>
      <w:sz w:val="24"/>
      <w:szCs w:val="24"/>
    </w:rPr>
  </w:style>
  <w:style w:type="paragraph" w:styleId="Titre2">
    <w:name w:val="heading 2"/>
    <w:basedOn w:val="Normal"/>
    <w:next w:val="Normal"/>
    <w:link w:val="Titre2Car"/>
    <w:qFormat/>
    <w:rsid w:val="00A2193A"/>
    <w:pPr>
      <w:keepNext/>
      <w:keepLines/>
      <w:numPr>
        <w:ilvl w:val="1"/>
        <w:numId w:val="1"/>
      </w:numPr>
      <w:tabs>
        <w:tab w:val="left" w:pos="567"/>
      </w:tabs>
      <w:spacing w:before="240"/>
      <w:outlineLvl w:val="1"/>
    </w:pPr>
    <w:rPr>
      <w:b/>
      <w:caps/>
    </w:rPr>
  </w:style>
  <w:style w:type="paragraph" w:styleId="Titre3">
    <w:name w:val="heading 3"/>
    <w:basedOn w:val="Normal"/>
    <w:next w:val="Normal"/>
    <w:link w:val="Titre3Car"/>
    <w:qFormat/>
    <w:rsid w:val="00A2193A"/>
    <w:pPr>
      <w:keepNext/>
      <w:keepLines/>
      <w:numPr>
        <w:ilvl w:val="2"/>
        <w:numId w:val="1"/>
      </w:numPr>
      <w:tabs>
        <w:tab w:val="clear" w:pos="0"/>
        <w:tab w:val="left" w:pos="709"/>
      </w:tabs>
      <w:spacing w:before="120"/>
      <w:ind w:left="709" w:hanging="709"/>
      <w:outlineLvl w:val="2"/>
    </w:pPr>
    <w:rPr>
      <w:b/>
      <w:caps/>
      <w:sz w:val="20"/>
    </w:rPr>
  </w:style>
  <w:style w:type="paragraph" w:styleId="Titre4">
    <w:name w:val="heading 4"/>
    <w:basedOn w:val="Normal"/>
    <w:next w:val="Normal"/>
    <w:link w:val="Titre4Car"/>
    <w:qFormat/>
    <w:rsid w:val="00A2193A"/>
    <w:pPr>
      <w:keepNext/>
      <w:keepLines/>
      <w:numPr>
        <w:ilvl w:val="3"/>
        <w:numId w:val="1"/>
      </w:numPr>
      <w:tabs>
        <w:tab w:val="clear" w:pos="0"/>
        <w:tab w:val="left" w:pos="851"/>
      </w:tabs>
      <w:spacing w:before="120"/>
      <w:ind w:left="851" w:hanging="851"/>
      <w:outlineLvl w:val="3"/>
    </w:pPr>
    <w:rPr>
      <w:b/>
      <w:sz w:val="20"/>
    </w:rPr>
  </w:style>
  <w:style w:type="paragraph" w:styleId="Titre5">
    <w:name w:val="heading 5"/>
    <w:basedOn w:val="Normal"/>
    <w:next w:val="Normal"/>
    <w:link w:val="Titre5Car"/>
    <w:qFormat/>
    <w:rsid w:val="00A2193A"/>
    <w:pPr>
      <w:numPr>
        <w:ilvl w:val="4"/>
        <w:numId w:val="1"/>
      </w:numPr>
      <w:spacing w:after="60"/>
      <w:outlineLvl w:val="4"/>
    </w:pPr>
    <w:rPr>
      <w:b/>
      <w:i/>
      <w:sz w:val="26"/>
    </w:rPr>
  </w:style>
  <w:style w:type="paragraph" w:styleId="Titre6">
    <w:name w:val="heading 6"/>
    <w:basedOn w:val="Normal"/>
    <w:next w:val="Normal"/>
    <w:link w:val="Titre6Car"/>
    <w:qFormat/>
    <w:rsid w:val="00A2193A"/>
    <w:pPr>
      <w:numPr>
        <w:ilvl w:val="5"/>
        <w:numId w:val="1"/>
      </w:numPr>
      <w:spacing w:after="60"/>
      <w:outlineLvl w:val="5"/>
    </w:pPr>
    <w:rPr>
      <w:b/>
    </w:rPr>
  </w:style>
  <w:style w:type="paragraph" w:styleId="Titre7">
    <w:name w:val="heading 7"/>
    <w:basedOn w:val="Normal"/>
    <w:next w:val="Normal"/>
    <w:link w:val="Titre7Car"/>
    <w:qFormat/>
    <w:rsid w:val="00A2193A"/>
    <w:pPr>
      <w:numPr>
        <w:ilvl w:val="6"/>
        <w:numId w:val="1"/>
      </w:numPr>
      <w:spacing w:after="60"/>
      <w:outlineLvl w:val="6"/>
    </w:pPr>
  </w:style>
  <w:style w:type="paragraph" w:styleId="Titre8">
    <w:name w:val="heading 8"/>
    <w:basedOn w:val="Normal"/>
    <w:next w:val="Normal"/>
    <w:link w:val="Titre8Car"/>
    <w:qFormat/>
    <w:rsid w:val="00A2193A"/>
    <w:pPr>
      <w:numPr>
        <w:ilvl w:val="7"/>
        <w:numId w:val="1"/>
      </w:numPr>
      <w:spacing w:line="280" w:lineRule="atLeast"/>
      <w:outlineLvl w:val="7"/>
    </w:pPr>
    <w:rPr>
      <w:rFonts w:ascii="Palatino" w:hAnsi="Palatino"/>
      <w:i/>
      <w:sz w:val="20"/>
    </w:rPr>
  </w:style>
  <w:style w:type="paragraph" w:styleId="Titre9">
    <w:name w:val="heading 9"/>
    <w:basedOn w:val="Normal"/>
    <w:next w:val="Normal"/>
    <w:link w:val="Titre9Car"/>
    <w:rsid w:val="00A2193A"/>
    <w:pPr>
      <w:numPr>
        <w:ilvl w:val="8"/>
        <w:numId w:val="1"/>
      </w:numPr>
      <w:spacing w:after="60"/>
      <w:outlineLvl w:val="8"/>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2193A"/>
    <w:rPr>
      <w:rFonts w:ascii="Calibri" w:eastAsia="Times New Roman" w:hAnsi="Calibri" w:cs="Times New Roman"/>
      <w:b/>
      <w:caps/>
      <w:sz w:val="24"/>
      <w:szCs w:val="24"/>
      <w:lang w:eastAsia="fr-FR"/>
    </w:rPr>
  </w:style>
  <w:style w:type="character" w:customStyle="1" w:styleId="Titre2Car">
    <w:name w:val="Titre 2 Car"/>
    <w:basedOn w:val="Policepardfaut"/>
    <w:link w:val="Titre2"/>
    <w:rsid w:val="00A2193A"/>
    <w:rPr>
      <w:rFonts w:ascii="Calibri" w:eastAsia="Times New Roman" w:hAnsi="Calibri" w:cs="Times New Roman"/>
      <w:b/>
      <w:caps/>
      <w:szCs w:val="20"/>
      <w:lang w:eastAsia="fr-FR"/>
    </w:rPr>
  </w:style>
  <w:style w:type="character" w:customStyle="1" w:styleId="Titre3Car">
    <w:name w:val="Titre 3 Car"/>
    <w:basedOn w:val="Policepardfaut"/>
    <w:link w:val="Titre3"/>
    <w:rsid w:val="00A2193A"/>
    <w:rPr>
      <w:rFonts w:ascii="Calibri" w:eastAsia="Times New Roman" w:hAnsi="Calibri" w:cs="Times New Roman"/>
      <w:b/>
      <w:caps/>
      <w:sz w:val="20"/>
      <w:szCs w:val="20"/>
      <w:lang w:eastAsia="fr-FR"/>
    </w:rPr>
  </w:style>
  <w:style w:type="character" w:customStyle="1" w:styleId="Titre4Car">
    <w:name w:val="Titre 4 Car"/>
    <w:basedOn w:val="Policepardfaut"/>
    <w:link w:val="Titre4"/>
    <w:rsid w:val="00A2193A"/>
    <w:rPr>
      <w:rFonts w:ascii="Calibri" w:eastAsia="Times New Roman" w:hAnsi="Calibri" w:cs="Times New Roman"/>
      <w:b/>
      <w:sz w:val="20"/>
      <w:szCs w:val="20"/>
      <w:lang w:eastAsia="fr-FR"/>
    </w:rPr>
  </w:style>
  <w:style w:type="character" w:customStyle="1" w:styleId="Titre5Car">
    <w:name w:val="Titre 5 Car"/>
    <w:basedOn w:val="Policepardfaut"/>
    <w:link w:val="Titre5"/>
    <w:rsid w:val="00A2193A"/>
    <w:rPr>
      <w:rFonts w:ascii="Calibri" w:eastAsia="Times New Roman" w:hAnsi="Calibri" w:cs="Times New Roman"/>
      <w:b/>
      <w:i/>
      <w:sz w:val="26"/>
      <w:szCs w:val="20"/>
      <w:lang w:eastAsia="fr-FR"/>
    </w:rPr>
  </w:style>
  <w:style w:type="character" w:customStyle="1" w:styleId="Titre6Car">
    <w:name w:val="Titre 6 Car"/>
    <w:basedOn w:val="Policepardfaut"/>
    <w:link w:val="Titre6"/>
    <w:rsid w:val="00A2193A"/>
    <w:rPr>
      <w:rFonts w:ascii="Calibri" w:eastAsia="Times New Roman" w:hAnsi="Calibri" w:cs="Times New Roman"/>
      <w:b/>
      <w:szCs w:val="20"/>
      <w:lang w:eastAsia="fr-FR"/>
    </w:rPr>
  </w:style>
  <w:style w:type="character" w:customStyle="1" w:styleId="Titre7Car">
    <w:name w:val="Titre 7 Car"/>
    <w:basedOn w:val="Policepardfaut"/>
    <w:link w:val="Titre7"/>
    <w:rsid w:val="00A2193A"/>
    <w:rPr>
      <w:rFonts w:ascii="Calibri" w:eastAsia="Times New Roman" w:hAnsi="Calibri" w:cs="Times New Roman"/>
      <w:szCs w:val="20"/>
      <w:lang w:eastAsia="fr-FR"/>
    </w:rPr>
  </w:style>
  <w:style w:type="character" w:customStyle="1" w:styleId="Titre8Car">
    <w:name w:val="Titre 8 Car"/>
    <w:basedOn w:val="Policepardfaut"/>
    <w:link w:val="Titre8"/>
    <w:rsid w:val="00A2193A"/>
    <w:rPr>
      <w:rFonts w:ascii="Palatino" w:eastAsia="Times New Roman" w:hAnsi="Palatino" w:cs="Times New Roman"/>
      <w:i/>
      <w:sz w:val="20"/>
      <w:szCs w:val="20"/>
      <w:lang w:eastAsia="fr-FR"/>
    </w:rPr>
  </w:style>
  <w:style w:type="character" w:customStyle="1" w:styleId="Titre9Car">
    <w:name w:val="Titre 9 Car"/>
    <w:basedOn w:val="Policepardfaut"/>
    <w:link w:val="Titre9"/>
    <w:rsid w:val="00A2193A"/>
    <w:rPr>
      <w:rFonts w:ascii="Arial" w:eastAsia="Times New Roman" w:hAnsi="Arial" w:cs="Times New Roman"/>
      <w:szCs w:val="20"/>
      <w:lang w:eastAsia="fr-FR"/>
    </w:rPr>
  </w:style>
  <w:style w:type="paragraph" w:styleId="Textedebulles">
    <w:name w:val="Balloon Text"/>
    <w:basedOn w:val="Normal"/>
    <w:link w:val="TextedebullesCar"/>
    <w:uiPriority w:val="99"/>
    <w:semiHidden/>
    <w:unhideWhenUsed/>
    <w:rsid w:val="00011971"/>
    <w:rPr>
      <w:rFonts w:ascii="Segoe UI" w:hAnsi="Segoe UI" w:cs="Segoe UI"/>
      <w:sz w:val="18"/>
      <w:szCs w:val="18"/>
    </w:rPr>
  </w:style>
  <w:style w:type="character" w:customStyle="1" w:styleId="TextedebullesCar">
    <w:name w:val="Texte de bulles Car"/>
    <w:basedOn w:val="Policepardfaut"/>
    <w:link w:val="Textedebulles"/>
    <w:uiPriority w:val="99"/>
    <w:semiHidden/>
    <w:rsid w:val="00011971"/>
    <w:rPr>
      <w:rFonts w:ascii="Segoe UI" w:eastAsia="Times New Roman" w:hAnsi="Segoe UI" w:cs="Segoe UI"/>
      <w:sz w:val="18"/>
      <w:szCs w:val="18"/>
      <w:lang w:eastAsia="fr-FR"/>
    </w:rPr>
  </w:style>
  <w:style w:type="paragraph" w:styleId="Titre">
    <w:name w:val="Title"/>
    <w:basedOn w:val="Normal"/>
    <w:next w:val="Normal"/>
    <w:link w:val="TitreCar"/>
    <w:uiPriority w:val="10"/>
    <w:qFormat/>
    <w:rsid w:val="00471312"/>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1312"/>
    <w:rPr>
      <w:rFonts w:asciiTheme="majorHAnsi" w:eastAsiaTheme="majorEastAsia" w:hAnsiTheme="majorHAnsi" w:cstheme="majorBidi"/>
      <w:spacing w:val="-10"/>
      <w:kern w:val="28"/>
      <w:sz w:val="56"/>
      <w:szCs w:val="56"/>
      <w:lang w:eastAsia="fr-FR"/>
    </w:rPr>
  </w:style>
  <w:style w:type="paragraph" w:styleId="Paragraphedeliste">
    <w:name w:val="List Paragraph"/>
    <w:basedOn w:val="Normal"/>
    <w:uiPriority w:val="34"/>
    <w:qFormat/>
    <w:rsid w:val="007D3FB3"/>
    <w:pPr>
      <w:ind w:left="720"/>
      <w:contextualSpacing/>
      <w:jc w:val="left"/>
    </w:pPr>
  </w:style>
  <w:style w:type="paragraph" w:styleId="Lgende">
    <w:name w:val="caption"/>
    <w:basedOn w:val="Normal"/>
    <w:next w:val="Normal"/>
    <w:uiPriority w:val="35"/>
    <w:unhideWhenUsed/>
    <w:qFormat/>
    <w:rsid w:val="00DE6226"/>
    <w:pPr>
      <w:overflowPunct/>
      <w:autoSpaceDE/>
      <w:autoSpaceDN/>
      <w:adjustRightInd/>
      <w:spacing w:after="200"/>
      <w:jc w:val="left"/>
      <w:textAlignment w:val="auto"/>
    </w:pPr>
    <w:rPr>
      <w:rFonts w:asciiTheme="minorHAnsi" w:eastAsiaTheme="minorEastAsia" w:hAnsiTheme="minorHAnsi" w:cstheme="minorBidi"/>
      <w:i/>
      <w:iCs/>
      <w:color w:val="000000" w:themeColor="text1"/>
      <w:sz w:val="18"/>
      <w:szCs w:val="18"/>
      <w:lang w:eastAsia="zh-CN"/>
    </w:rPr>
  </w:style>
  <w:style w:type="character" w:styleId="Appelnotedebasdep">
    <w:name w:val="footnote reference"/>
    <w:basedOn w:val="Policepardfaut"/>
    <w:uiPriority w:val="99"/>
    <w:semiHidden/>
    <w:unhideWhenUsed/>
    <w:rsid w:val="00263793"/>
    <w:rPr>
      <w:vertAlign w:val="superscript"/>
    </w:rPr>
  </w:style>
  <w:style w:type="character" w:customStyle="1" w:styleId="hps">
    <w:name w:val="hps"/>
    <w:basedOn w:val="Policepardfaut"/>
    <w:rsid w:val="00263793"/>
  </w:style>
  <w:style w:type="character" w:styleId="Textedelespacerserv">
    <w:name w:val="Placeholder Text"/>
    <w:basedOn w:val="Policepardfaut"/>
    <w:uiPriority w:val="99"/>
    <w:semiHidden/>
    <w:rsid w:val="0035638D"/>
    <w:rPr>
      <w:color w:val="808080"/>
    </w:rPr>
  </w:style>
  <w:style w:type="table" w:styleId="Grilledutableau">
    <w:name w:val="Table Grid"/>
    <w:basedOn w:val="TableauNormal"/>
    <w:uiPriority w:val="59"/>
    <w:rsid w:val="00574681"/>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57468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6347</TotalTime>
  <Pages>8</Pages>
  <Words>4046</Words>
  <Characters>22253</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EDF</Company>
  <LinksUpToDate>false</LinksUpToDate>
  <CharactersWithSpaces>26247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 Silun</cp:lastModifiedBy>
  <cp:revision>587</cp:revision>
  <dcterms:created xsi:type="dcterms:W3CDTF">2018-08-22T09:00:00Z</dcterms:created>
  <dcterms:modified xsi:type="dcterms:W3CDTF">2018-08-28T11:57:00Z</dcterms:modified>
</cp:coreProperties>
</file>