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3A30E3" w14:textId="66A676E9" w:rsidR="00540088" w:rsidRDefault="00D97CAA" w:rsidP="00F171D4">
      <w:pPr>
        <w:pStyle w:val="Titre"/>
      </w:pPr>
      <w:r>
        <w:t>Chapitre IV</w:t>
      </w:r>
      <w:r w:rsidR="00F171D4">
        <w:t xml:space="preserve"> : </w:t>
      </w:r>
      <w:r>
        <w:t>Analyse numérique de l’effet Morton</w:t>
      </w:r>
    </w:p>
    <w:p w14:paraId="4BB33728" w14:textId="77777777" w:rsidR="002144C2" w:rsidRDefault="002144C2" w:rsidP="002144C2"/>
    <w:p w14:paraId="738AA6D6" w14:textId="292F4A38" w:rsidR="00971AB6" w:rsidRDefault="00971AB6" w:rsidP="00B76220">
      <w:pPr>
        <w:pStyle w:val="Titre1"/>
        <w:spacing w:line="360" w:lineRule="auto"/>
      </w:pPr>
      <w:r>
        <w:t>Introduction</w:t>
      </w:r>
    </w:p>
    <w:p w14:paraId="7267F5B8" w14:textId="77777777" w:rsidR="00A507B9" w:rsidRDefault="00A507B9" w:rsidP="00B76220">
      <w:pPr>
        <w:spacing w:line="360" w:lineRule="auto"/>
      </w:pPr>
    </w:p>
    <w:p w14:paraId="17B49881" w14:textId="74541585" w:rsidR="00A507B9" w:rsidRDefault="00380CD0" w:rsidP="00B76220">
      <w:pPr>
        <w:spacing w:line="360" w:lineRule="auto"/>
      </w:pPr>
      <w:r>
        <w:t xml:space="preserve">Après avoir présenté </w:t>
      </w:r>
      <w:r w:rsidR="00D16C8A">
        <w:t xml:space="preserve">les modélisations des phénomènes physiques </w:t>
      </w:r>
      <w:r w:rsidR="00840C07">
        <w:t>dans les chapitres II et III</w:t>
      </w:r>
      <w:r w:rsidR="00D16C8A">
        <w:t xml:space="preserve">, celui-ci s’intéresse à les exploiter </w:t>
      </w:r>
      <w:r w:rsidR="00970AFC">
        <w:t>afin de</w:t>
      </w:r>
      <w:r w:rsidR="00D16C8A">
        <w:t xml:space="preserve"> réaliser l’analyse numérique de l’effet Morton. Comme décrit dans </w:t>
      </w:r>
      <w:r w:rsidR="00FF13E2">
        <w:t>le</w:t>
      </w:r>
      <w:r w:rsidR="00D16C8A">
        <w:t xml:space="preserve"> chapitre bibliographie, </w:t>
      </w:r>
      <w:r w:rsidR="00CC1389">
        <w:t>toutes les</w:t>
      </w:r>
      <w:r w:rsidR="00FF13E2">
        <w:t xml:space="preserve"> modélisation</w:t>
      </w:r>
      <w:r w:rsidR="00CC1389">
        <w:t>s</w:t>
      </w:r>
      <w:r w:rsidR="00FF13E2">
        <w:t xml:space="preserve"> de l’effet Morton introduit trois aspects physiques</w:t>
      </w:r>
      <w:r w:rsidR="00332D42">
        <w:t xml:space="preserve"> (figure du chapitre I)</w:t>
      </w:r>
      <w:r w:rsidR="00FF13E2">
        <w:t xml:space="preserve"> qui contribuent à l’instabilité vibratoire.  </w:t>
      </w:r>
      <w:r w:rsidR="00456363">
        <w:t>En prenant en compte</w:t>
      </w:r>
      <w:r w:rsidR="00840C07">
        <w:t xml:space="preserve"> la qualité de résultats numérique</w:t>
      </w:r>
      <w:r w:rsidR="009A095B">
        <w:t>s</w:t>
      </w:r>
      <w:r w:rsidR="00840C07">
        <w:t xml:space="preserve"> ciblés</w:t>
      </w:r>
      <w:r w:rsidR="00456363">
        <w:t xml:space="preserve"> et le coût de temps de simulation</w:t>
      </w:r>
      <w:r w:rsidR="00840C07">
        <w:t xml:space="preserve">, </w:t>
      </w:r>
      <w:r w:rsidR="00456363">
        <w:t xml:space="preserve">différentes stratégies sont adaptées pour </w:t>
      </w:r>
      <w:r w:rsidR="00D22183">
        <w:t>effectuer</w:t>
      </w:r>
      <w:r w:rsidR="00456363">
        <w:t xml:space="preserve"> cette analyse. </w:t>
      </w:r>
      <w:r w:rsidR="00B453C9">
        <w:t xml:space="preserve"> </w:t>
      </w:r>
      <w:r w:rsidR="00A027A3">
        <w:t xml:space="preserve">Dans ce chapitre, </w:t>
      </w:r>
      <w:r w:rsidR="00642B81">
        <w:t xml:space="preserve">En se basant sur la </w:t>
      </w:r>
      <w:r w:rsidR="00F0545E">
        <w:t xml:space="preserve">méthode </w:t>
      </w:r>
      <w:r w:rsidR="00642B81">
        <w:t xml:space="preserve">des coefficients d’influences, </w:t>
      </w:r>
      <w:r w:rsidR="00CC1389">
        <w:t xml:space="preserve">plusieurs </w:t>
      </w:r>
      <w:r w:rsidR="00F0545E">
        <w:t>approches</w:t>
      </w:r>
      <w:r w:rsidR="00CC1389">
        <w:t xml:space="preserve"> d’analyse avec les degrés de complexité différentes sont présentées en détail. Ces méthodes </w:t>
      </w:r>
      <w:r w:rsidR="008418BD">
        <w:t>sont appliquées au cas expérimental conçu pour cette thèse</w:t>
      </w:r>
      <w:r w:rsidR="006D4CE3">
        <w:t xml:space="preserve"> et aux cas d’études historiques dans la littérature</w:t>
      </w:r>
      <w:r w:rsidR="008418BD">
        <w:t xml:space="preserve">. </w:t>
      </w:r>
      <w:r w:rsidR="007B0CAF">
        <w:t>En fonction</w:t>
      </w:r>
      <w:r w:rsidR="001C0E84">
        <w:t xml:space="preserve"> des résultats de ces analyses, </w:t>
      </w:r>
      <w:r w:rsidR="007B0CAF">
        <w:t xml:space="preserve">on conclue </w:t>
      </w:r>
      <w:r w:rsidR="001C0E84">
        <w:t xml:space="preserve">sur </w:t>
      </w:r>
      <w:r w:rsidR="007B0CAF">
        <w:t xml:space="preserve">les conditions favorisant l’effet Morton instable et propose des </w:t>
      </w:r>
      <w:r w:rsidR="0076246C">
        <w:t>pistes</w:t>
      </w:r>
      <w:r w:rsidR="007B0CAF">
        <w:t xml:space="preserve"> pour éviter l’effet Morton</w:t>
      </w:r>
      <w:r w:rsidR="007B4F50">
        <w:t xml:space="preserve"> instable</w:t>
      </w:r>
      <w:r w:rsidR="007B0CAF">
        <w:t xml:space="preserve">.    </w:t>
      </w:r>
    </w:p>
    <w:p w14:paraId="1CF5C69A" w14:textId="42750076" w:rsidR="00434A8C" w:rsidRDefault="00656366" w:rsidP="00E86769">
      <w:pPr>
        <w:pStyle w:val="Titre1"/>
      </w:pPr>
      <w:r>
        <w:t>Méthode</w:t>
      </w:r>
      <w:r w:rsidR="000329E0">
        <w:t>s</w:t>
      </w:r>
      <w:r>
        <w:t xml:space="preserve"> d’analyse</w:t>
      </w:r>
      <w:r w:rsidR="00FC6BEC">
        <w:t xml:space="preserve"> de l’effet Morton</w:t>
      </w:r>
    </w:p>
    <w:p w14:paraId="7BB27836" w14:textId="77777777" w:rsidR="00A06149" w:rsidRDefault="00A06149" w:rsidP="00602F48">
      <w:pPr>
        <w:spacing w:line="360" w:lineRule="auto"/>
      </w:pPr>
    </w:p>
    <w:p w14:paraId="6540430E" w14:textId="77777777" w:rsidR="00602F48" w:rsidRDefault="00602F48" w:rsidP="00602F48">
      <w:pPr>
        <w:spacing w:line="360" w:lineRule="auto"/>
      </w:pPr>
      <w:r>
        <w:t>L’analyse de  l’effet de Morton</w:t>
      </w:r>
      <w:r>
        <w:rPr>
          <w:rFonts w:hint="eastAsia"/>
        </w:rPr>
        <w:t xml:space="preserve"> </w:t>
      </w:r>
      <w:r>
        <w:t>est basée sur les coefficients d’influence</w:t>
      </w:r>
      <m:oMath>
        <m:r>
          <w:rPr>
            <w:rFonts w:ascii="Cambria Math" w:hAnsi="Cambria Math"/>
          </w:rPr>
          <m:t xml:space="preserve"> </m:t>
        </m:r>
        <m:r>
          <m:rPr>
            <m:sty m:val="bi"/>
          </m:rPr>
          <w:rPr>
            <w:rFonts w:ascii="Cambria Math" w:hAnsi="Cambria Math"/>
          </w:rPr>
          <m:t>A, B, C</m:t>
        </m:r>
      </m:oMath>
      <w:r>
        <w:t xml:space="preserve"> initialement utilisés par Murphy et Lorenz en 2010 </w:t>
      </w:r>
      <w:r>
        <w:fldChar w:fldCharType="begin"/>
      </w:r>
      <w:r>
        <w:instrText xml:space="preserve"> REF _Ref523086107 \r \h  \* MERGEFORMAT </w:instrText>
      </w:r>
      <w:r>
        <w:fldChar w:fldCharType="separate"/>
      </w:r>
      <w:r>
        <w:t>[1]</w:t>
      </w:r>
      <w:r>
        <w:fldChar w:fldCharType="end"/>
      </w:r>
      <w:r>
        <w:t>. Ces trois coefficients caractérisent respectivement la sensibilité de la vibration (</w:t>
      </w:r>
      <m:oMath>
        <m:r>
          <m:rPr>
            <m:sty m:val="bi"/>
          </m:rPr>
          <w:rPr>
            <w:rFonts w:ascii="Cambria Math" w:hAnsi="Cambria Math"/>
          </w:rPr>
          <m:t>V</m:t>
        </m:r>
      </m:oMath>
      <w:r>
        <w:t>) au balourd (</w:t>
      </w:r>
      <m:oMath>
        <m:r>
          <m:rPr>
            <m:sty m:val="bi"/>
          </m:rPr>
          <w:rPr>
            <w:rFonts w:ascii="Cambria Math" w:hAnsi="Cambria Math"/>
          </w:rPr>
          <m:t>U</m:t>
        </m:r>
      </m:oMath>
      <w:r>
        <w:t>), celle de la différence de température à l’état stable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ss</m:t>
            </m:r>
          </m:sub>
        </m:sSub>
      </m:oMath>
      <w:r>
        <w:t>) à la vibration (</w:t>
      </w:r>
      <m:oMath>
        <m:r>
          <m:rPr>
            <m:sty m:val="bi"/>
          </m:rPr>
          <w:rPr>
            <w:rFonts w:ascii="Cambria Math" w:hAnsi="Cambria Math"/>
          </w:rPr>
          <m:t>V</m:t>
        </m:r>
      </m:oMath>
      <w:r>
        <w:t>) et celle du balourd thermique (</w:t>
      </w:r>
      <m:oMath>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th</m:t>
            </m:r>
          </m:sub>
        </m:sSub>
      </m:oMath>
      <w:r w:rsidRPr="00AB57C1">
        <w:t>)</w:t>
      </w:r>
      <w:r>
        <w:t xml:space="preserve"> à la différence de température (</w:t>
      </w:r>
      <m:oMath>
        <m:r>
          <m:rPr>
            <m:sty m:val="bi"/>
          </m:rPr>
          <w:rPr>
            <w:rFonts w:ascii="Cambria Math" w:hAnsi="Cambria Math"/>
          </w:rPr>
          <m:t>T</m:t>
        </m:r>
      </m:oMath>
      <w:r w:rsidRPr="00AB57C1">
        <w:t>)</w:t>
      </w:r>
      <w:r>
        <w:t xml:space="preserve">.  Leurs explications en détail sont présentées au chapitre I et ne sont pas décrites de nouveaux ici. EIles permettent de relier les contributions des trois aspects physiques à l’effet Morton instable tel que décrit dans </w:t>
      </w:r>
      <w:r>
        <w:fldChar w:fldCharType="begin"/>
      </w:r>
      <w:r>
        <w:instrText xml:space="preserve"> REF _Ref530148895 \r \h </w:instrText>
      </w:r>
      <w:r>
        <w:fldChar w:fldCharType="separate"/>
      </w:r>
      <w:r>
        <w:t>Eq.1</w:t>
      </w:r>
      <w:r>
        <w:fldChar w:fldCharType="end"/>
      </w:r>
      <w:r>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602F48" w:rsidRPr="00E03861" w14:paraId="78B8D0FD" w14:textId="77777777" w:rsidTr="00B56939">
        <w:trPr>
          <w:trHeight w:val="635"/>
          <w:tblHeader/>
          <w:jc w:val="center"/>
        </w:trPr>
        <w:tc>
          <w:tcPr>
            <w:tcW w:w="7943" w:type="dxa"/>
            <w:vAlign w:val="center"/>
          </w:tcPr>
          <w:p w14:paraId="6D595649" w14:textId="77777777" w:rsidR="00602F48" w:rsidRPr="00E03861" w:rsidRDefault="008E61D2" w:rsidP="00B56939">
            <w:pPr>
              <w:spacing w:after="160"/>
              <w:rPr>
                <w:rFonts w:asciiTheme="minorHAnsi" w:eastAsiaTheme="minorEastAsia" w:hAnsiTheme="minorHAnsi"/>
                <w:lang w:eastAsia="zh-CN"/>
              </w:rPr>
            </w:pPr>
            <m:oMathPara>
              <m:oMath>
                <m:d>
                  <m:dPr>
                    <m:begChr m:val="{"/>
                    <m:endChr m:val=""/>
                    <m:ctrlPr>
                      <w:rPr>
                        <w:rFonts w:ascii="Cambria Math" w:eastAsiaTheme="minorEastAsia" w:hAnsi="Cambria Math"/>
                        <w:i/>
                        <w:lang w:eastAsia="zh-CN"/>
                      </w:rPr>
                    </m:ctrlPr>
                  </m:dPr>
                  <m:e>
                    <m:eqArr>
                      <m:eqArrPr>
                        <m:ctrlPr>
                          <w:rPr>
                            <w:rFonts w:ascii="Cambria Math" w:eastAsiaTheme="minorEastAsia" w:hAnsi="Cambria Math"/>
                            <w:i/>
                            <w:lang w:eastAsia="zh-CN"/>
                          </w:rPr>
                        </m:ctrlPr>
                      </m:eqArrPr>
                      <m:e>
                        <m:r>
                          <m:rPr>
                            <m:sty m:val="bi"/>
                          </m:rPr>
                          <w:rPr>
                            <w:rFonts w:ascii="Cambria Math" w:eastAsiaTheme="minorEastAsia" w:hAnsi="Cambria Math"/>
                            <w:lang w:eastAsia="zh-CN"/>
                          </w:rPr>
                          <m:t>V</m:t>
                        </m:r>
                        <m:r>
                          <w:rPr>
                            <w:rFonts w:ascii="Cambria Math" w:eastAsiaTheme="minorEastAsia" w:hAnsi="Cambria Math"/>
                            <w:lang w:eastAsia="zh-CN"/>
                          </w:rPr>
                          <m:t>=</m:t>
                        </m:r>
                        <m:r>
                          <m:rPr>
                            <m:sty m:val="bi"/>
                          </m:rPr>
                          <w:rPr>
                            <w:rFonts w:ascii="Cambria Math" w:eastAsiaTheme="minorEastAsia" w:hAnsi="Cambria Math"/>
                            <w:lang w:eastAsia="zh-CN"/>
                          </w:rPr>
                          <m:t>AU</m:t>
                        </m:r>
                      </m:e>
                      <m:e>
                        <m:sSub>
                          <m:sSubPr>
                            <m:ctrlPr>
                              <w:rPr>
                                <w:rFonts w:ascii="Cambria Math" w:eastAsiaTheme="minorEastAsia" w:hAnsi="Cambria Math"/>
                                <w:b/>
                                <w:i/>
                                <w:lang w:eastAsia="zh-CN"/>
                              </w:rPr>
                            </m:ctrlPr>
                          </m:sSubPr>
                          <m:e>
                            <m:r>
                              <m:rPr>
                                <m:sty m:val="bi"/>
                              </m:rPr>
                              <w:rPr>
                                <w:rFonts w:ascii="Cambria Math" w:eastAsiaTheme="minorEastAsia" w:hAnsi="Cambria Math"/>
                                <w:lang w:eastAsia="zh-CN"/>
                              </w:rPr>
                              <m:t>T</m:t>
                            </m:r>
                          </m:e>
                          <m:sub>
                            <m:r>
                              <m:rPr>
                                <m:sty m:val="bi"/>
                              </m:rPr>
                              <w:rPr>
                                <w:rFonts w:ascii="Cambria Math" w:eastAsiaTheme="minorEastAsia" w:hAnsi="Cambria Math"/>
                                <w:lang w:eastAsia="zh-CN"/>
                              </w:rPr>
                              <m:t>ss</m:t>
                            </m:r>
                          </m:sub>
                        </m:sSub>
                        <m:r>
                          <w:rPr>
                            <w:rFonts w:ascii="Cambria Math" w:eastAsiaTheme="minorEastAsia" w:hAnsi="Cambria Math"/>
                            <w:lang w:eastAsia="zh-CN"/>
                          </w:rPr>
                          <m:t>=</m:t>
                        </m:r>
                        <m:r>
                          <m:rPr>
                            <m:sty m:val="bi"/>
                          </m:rPr>
                          <w:rPr>
                            <w:rFonts w:ascii="Cambria Math" w:eastAsiaTheme="minorEastAsia" w:hAnsi="Cambria Math"/>
                            <w:lang w:eastAsia="zh-CN"/>
                          </w:rPr>
                          <m:t>BV</m:t>
                        </m:r>
                      </m:e>
                      <m:e>
                        <m:r>
                          <m:rPr>
                            <m:sty m:val="bi"/>
                          </m:rPr>
                          <w:rPr>
                            <w:rFonts w:ascii="Cambria Math" w:eastAsiaTheme="minorEastAsia" w:hAnsi="Cambria Math"/>
                            <w:lang w:eastAsia="zh-CN"/>
                          </w:rPr>
                          <m:t>U</m:t>
                        </m:r>
                        <m:r>
                          <w:rPr>
                            <w:rFonts w:ascii="Cambria Math" w:eastAsiaTheme="minorEastAsia" w:hAnsi="Cambria Math"/>
                            <w:lang w:eastAsia="zh-CN"/>
                          </w:rPr>
                          <m:t>=</m:t>
                        </m:r>
                        <m:sSub>
                          <m:sSubPr>
                            <m:ctrlPr>
                              <w:rPr>
                                <w:rFonts w:ascii="Cambria Math" w:eastAsiaTheme="minorEastAsia" w:hAnsi="Cambria Math"/>
                                <w:b/>
                                <w:i/>
                                <w:lang w:eastAsia="zh-CN"/>
                              </w:rPr>
                            </m:ctrlPr>
                          </m:sSubPr>
                          <m:e>
                            <m:r>
                              <m:rPr>
                                <m:sty m:val="bi"/>
                              </m:rPr>
                              <w:rPr>
                                <w:rFonts w:ascii="Cambria Math" w:eastAsiaTheme="minorEastAsia" w:hAnsi="Cambria Math"/>
                                <w:lang w:eastAsia="zh-CN"/>
                              </w:rPr>
                              <m:t>U</m:t>
                            </m:r>
                          </m:e>
                          <m:sub>
                            <m:r>
                              <m:rPr>
                                <m:sty m:val="bi"/>
                              </m:rPr>
                              <w:rPr>
                                <w:rFonts w:ascii="Cambria Math" w:eastAsiaTheme="minorEastAsia" w:hAnsi="Cambria Math"/>
                                <w:lang w:eastAsia="zh-CN"/>
                              </w:rPr>
                              <m:t>0</m:t>
                            </m:r>
                          </m:sub>
                        </m:sSub>
                        <m:r>
                          <w:rPr>
                            <w:rFonts w:ascii="Cambria Math" w:eastAsiaTheme="minorEastAsia" w:hAnsi="Cambria Math"/>
                            <w:lang w:eastAsia="zh-CN"/>
                          </w:rPr>
                          <m:t>+</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th</m:t>
                            </m:r>
                          </m:sub>
                        </m:sSub>
                        <m:r>
                          <m:rPr>
                            <m:sty m:val="bi"/>
                          </m:rPr>
                          <w:rPr>
                            <w:rFonts w:ascii="Cambria Math" w:eastAsiaTheme="minorEastAsia" w:hAnsi="Cambria Math"/>
                            <w:lang w:eastAsia="zh-CN"/>
                          </w:rPr>
                          <m:t>=</m:t>
                        </m:r>
                        <m:sSub>
                          <m:sSubPr>
                            <m:ctrlPr>
                              <w:rPr>
                                <w:rFonts w:ascii="Cambria Math" w:eastAsiaTheme="minorEastAsia" w:hAnsi="Cambria Math"/>
                                <w:b/>
                                <w:i/>
                                <w:lang w:eastAsia="zh-CN"/>
                              </w:rPr>
                            </m:ctrlPr>
                          </m:sSubPr>
                          <m:e>
                            <m:r>
                              <m:rPr>
                                <m:sty m:val="bi"/>
                              </m:rPr>
                              <w:rPr>
                                <w:rFonts w:ascii="Cambria Math" w:eastAsiaTheme="minorEastAsia" w:hAnsi="Cambria Math"/>
                                <w:lang w:eastAsia="zh-CN"/>
                              </w:rPr>
                              <m:t>U</m:t>
                            </m:r>
                          </m:e>
                          <m:sub>
                            <m:r>
                              <m:rPr>
                                <m:sty m:val="bi"/>
                              </m:rPr>
                              <w:rPr>
                                <w:rFonts w:ascii="Cambria Math" w:eastAsiaTheme="minorEastAsia" w:hAnsi="Cambria Math"/>
                                <w:lang w:eastAsia="zh-CN"/>
                              </w:rPr>
                              <m:t>0</m:t>
                            </m:r>
                          </m:sub>
                        </m:sSub>
                        <m:r>
                          <m:rPr>
                            <m:sty m:val="bi"/>
                          </m:rPr>
                          <w:rPr>
                            <w:rFonts w:ascii="Cambria Math" w:eastAsiaTheme="minorEastAsia" w:hAnsi="Cambria Math"/>
                            <w:lang w:eastAsia="zh-CN"/>
                          </w:rPr>
                          <m:t>+CT</m:t>
                        </m:r>
                      </m:e>
                    </m:eqArr>
                  </m:e>
                </m:d>
              </m:oMath>
            </m:oMathPara>
          </w:p>
        </w:tc>
        <w:tc>
          <w:tcPr>
            <w:tcW w:w="1096" w:type="dxa"/>
            <w:vAlign w:val="center"/>
          </w:tcPr>
          <w:p w14:paraId="1750256F" w14:textId="77777777" w:rsidR="00602F48" w:rsidRPr="00E03861" w:rsidRDefault="00602F48" w:rsidP="00B56939">
            <w:pPr>
              <w:numPr>
                <w:ilvl w:val="0"/>
                <w:numId w:val="7"/>
              </w:numPr>
              <w:overflowPunct/>
              <w:autoSpaceDE/>
              <w:autoSpaceDN/>
              <w:adjustRightInd/>
              <w:spacing w:before="120" w:after="120"/>
              <w:jc w:val="left"/>
              <w:textAlignment w:val="auto"/>
              <w:rPr>
                <w:rFonts w:ascii="Times New Roman" w:eastAsiaTheme="minorEastAsia" w:hAnsi="Times New Roman"/>
                <w:b/>
                <w:i/>
              </w:rPr>
            </w:pPr>
            <w:bookmarkStart w:id="0" w:name="_Ref530148895"/>
            <w:r w:rsidRPr="00E03861">
              <w:rPr>
                <w:rFonts w:ascii="Times New Roman" w:eastAsiaTheme="minorEastAsia" w:hAnsi="Times New Roman"/>
                <w:b/>
                <w:i/>
              </w:rPr>
              <w:t xml:space="preserve"> </w:t>
            </w:r>
            <w:bookmarkEnd w:id="0"/>
          </w:p>
        </w:tc>
      </w:tr>
    </w:tbl>
    <w:p w14:paraId="0166E931" w14:textId="4DB444BA" w:rsidR="00E86769" w:rsidRPr="00E86769" w:rsidRDefault="00E86769" w:rsidP="00E86769">
      <w:pPr>
        <w:pStyle w:val="Titre2"/>
        <w:spacing w:line="360" w:lineRule="auto"/>
      </w:pPr>
      <w:r>
        <w:t xml:space="preserve">Forme matricielle des coefficients d’influence  </w:t>
      </w:r>
    </w:p>
    <w:p w14:paraId="0EB0B071" w14:textId="729D7179" w:rsidR="00FA40FE" w:rsidRDefault="00B86746" w:rsidP="00BE3117">
      <w:pPr>
        <w:spacing w:line="360" w:lineRule="auto"/>
      </w:pPr>
      <w:r>
        <w:t>L</w:t>
      </w:r>
      <w:r w:rsidR="00FA40FE">
        <w:t>es trois coefficients d’influence</w:t>
      </w:r>
      <w:r>
        <w:t xml:space="preserve"> </w:t>
      </w:r>
      <w:r w:rsidR="00FA40FE">
        <w:t xml:space="preserve"> </w:t>
      </w:r>
      <m:oMath>
        <m:r>
          <m:rPr>
            <m:sty m:val="bi"/>
          </m:rPr>
          <w:rPr>
            <w:rFonts w:ascii="Cambria Math" w:hAnsi="Cambria Math"/>
          </w:rPr>
          <m:t>A, B, C</m:t>
        </m:r>
      </m:oMath>
      <w:r>
        <w:t xml:space="preserve"> </w:t>
      </w:r>
      <w:r w:rsidR="00FA40FE">
        <w:t>sont exprimés sous forme matricielle</w:t>
      </w:r>
      <w:r w:rsidR="00E1535A">
        <w:t xml:space="preserve"> comme dans </w:t>
      </w:r>
      <w:r w:rsidR="00E1535A">
        <w:fldChar w:fldCharType="begin"/>
      </w:r>
      <w:r w:rsidR="00E1535A">
        <w:instrText xml:space="preserve"> REF _Ref530477488 \r \h </w:instrText>
      </w:r>
      <w:r w:rsidR="00E1535A">
        <w:fldChar w:fldCharType="separate"/>
      </w:r>
      <w:r w:rsidR="00E1535A">
        <w:t>Eq.2</w:t>
      </w:r>
      <w:r w:rsidR="00E1535A">
        <w:fldChar w:fldCharType="end"/>
      </w:r>
      <w:r w:rsidR="00FA40FE">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D75FF1" w:rsidRPr="00E03861" w14:paraId="3CF2B77C" w14:textId="77777777" w:rsidTr="008D5107">
        <w:trPr>
          <w:trHeight w:val="635"/>
          <w:tblHeader/>
          <w:jc w:val="center"/>
        </w:trPr>
        <w:tc>
          <w:tcPr>
            <w:tcW w:w="7943" w:type="dxa"/>
            <w:vAlign w:val="center"/>
          </w:tcPr>
          <w:p w14:paraId="5DE0F688" w14:textId="56BBEAE8" w:rsidR="00D75FF1" w:rsidRPr="00E03861" w:rsidRDefault="00670A5C" w:rsidP="00BE3117">
            <w:pPr>
              <w:spacing w:after="160" w:line="360" w:lineRule="auto"/>
              <w:rPr>
                <w:rFonts w:asciiTheme="minorHAnsi" w:eastAsiaTheme="minorEastAsia" w:hAnsiTheme="minorHAnsi"/>
                <w:lang w:eastAsia="zh-CN"/>
              </w:rPr>
            </w:pPr>
            <m:oMathPara>
              <m:oMath>
                <m:r>
                  <m:rPr>
                    <m:sty m:val="bi"/>
                  </m:rPr>
                  <w:rPr>
                    <w:rFonts w:ascii="Cambria Math" w:hAnsi="Cambria Math" w:cs="Cambria Math"/>
                  </w:rPr>
                  <m:t>M</m:t>
                </m:r>
                <m:r>
                  <w:rPr>
                    <w:rFonts w:ascii="Cambria Math" w:hAnsi="Cambria Math"/>
                  </w:rPr>
                  <m:t xml:space="preserve"> = </m:t>
                </m:r>
                <m:d>
                  <m:dPr>
                    <m:begChr m:val="|"/>
                    <m:endChr m:val="|"/>
                    <m:ctrlPr>
                      <w:rPr>
                        <w:rFonts w:ascii="Cambria Math" w:hAnsi="Cambria Math"/>
                        <w:i/>
                      </w:rPr>
                    </m:ctrlPr>
                  </m:dPr>
                  <m:e>
                    <m:r>
                      <w:rPr>
                        <w:rFonts w:ascii="Cambria Math" w:hAnsi="Cambria Math"/>
                      </w:rPr>
                      <m:t>M</m:t>
                    </m:r>
                  </m:e>
                </m:d>
                <m:d>
                  <m:dPr>
                    <m:begChr m:val="["/>
                    <m:endChr m:val="]"/>
                    <m:ctrlPr>
                      <w:rPr>
                        <w:rFonts w:ascii="Cambria Math" w:eastAsia="SimSun" w:hAnsi="Cambria Math"/>
                        <w:i/>
                      </w:rPr>
                    </m:ctrlPr>
                  </m:dPr>
                  <m:e>
                    <m:m>
                      <m:mPr>
                        <m:mcs>
                          <m:mc>
                            <m:mcPr>
                              <m:count m:val="2"/>
                              <m:mcJc m:val="center"/>
                            </m:mcPr>
                          </m:mc>
                        </m:mcs>
                        <m:ctrlPr>
                          <w:rPr>
                            <w:rFonts w:ascii="Cambria Math" w:eastAsia="SimSun" w:hAnsi="Cambria Math"/>
                            <w:i/>
                          </w:rPr>
                        </m:ctrlPr>
                      </m:mPr>
                      <m:mr>
                        <m:e>
                          <m:r>
                            <w:rPr>
                              <w:rFonts w:ascii="Cambria Math" w:eastAsia="SimSun" w:hAnsi="Cambria Math"/>
                            </w:rPr>
                            <m:t>cos</m:t>
                          </m:r>
                          <m:sSub>
                            <m:sSubPr>
                              <m:ctrlPr>
                                <w:rPr>
                                  <w:rFonts w:ascii="Cambria Math" w:eastAsia="SimSun" w:hAnsi="Cambria Math"/>
                                  <w:i/>
                                </w:rPr>
                              </m:ctrlPr>
                            </m:sSubPr>
                            <m:e>
                              <m:r>
                                <w:rPr>
                                  <w:rFonts w:ascii="Cambria Math" w:eastAsia="SimSun" w:hAnsi="Cambria Math"/>
                                </w:rPr>
                                <m:t>α</m:t>
                              </m:r>
                            </m:e>
                            <m:sub>
                              <m:r>
                                <w:rPr>
                                  <w:rFonts w:ascii="Cambria Math" w:eastAsia="SimSun" w:hAnsi="Cambria Math"/>
                                </w:rPr>
                                <m:t>M</m:t>
                              </m:r>
                            </m:sub>
                          </m:sSub>
                        </m:e>
                        <m:e>
                          <m:r>
                            <w:rPr>
                              <w:rFonts w:ascii="Cambria Math" w:eastAsia="SimSun" w:hAnsi="Cambria Math"/>
                            </w:rPr>
                            <m:t>sin</m:t>
                          </m:r>
                          <m:sSub>
                            <m:sSubPr>
                              <m:ctrlPr>
                                <w:rPr>
                                  <w:rFonts w:ascii="Cambria Math" w:eastAsia="SimSun" w:hAnsi="Cambria Math"/>
                                  <w:i/>
                                </w:rPr>
                              </m:ctrlPr>
                            </m:sSubPr>
                            <m:e>
                              <m:r>
                                <w:rPr>
                                  <w:rFonts w:ascii="Cambria Math" w:eastAsia="SimSun" w:hAnsi="Cambria Math"/>
                                </w:rPr>
                                <m:t>α</m:t>
                              </m:r>
                            </m:e>
                            <m:sub>
                              <m:r>
                                <w:rPr>
                                  <w:rFonts w:ascii="Cambria Math" w:eastAsia="SimSun" w:hAnsi="Cambria Math"/>
                                </w:rPr>
                                <m:t>M</m:t>
                              </m:r>
                            </m:sub>
                          </m:sSub>
                        </m:e>
                      </m:mr>
                      <m:mr>
                        <m:e>
                          <m:r>
                            <w:rPr>
                              <w:rFonts w:ascii="Cambria Math" w:eastAsia="SimSun" w:hAnsi="Cambria Math"/>
                            </w:rPr>
                            <m:t>-sin</m:t>
                          </m:r>
                          <m:sSub>
                            <m:sSubPr>
                              <m:ctrlPr>
                                <w:rPr>
                                  <w:rFonts w:ascii="Cambria Math" w:eastAsia="SimSun" w:hAnsi="Cambria Math"/>
                                  <w:i/>
                                </w:rPr>
                              </m:ctrlPr>
                            </m:sSubPr>
                            <m:e>
                              <m:r>
                                <w:rPr>
                                  <w:rFonts w:ascii="Cambria Math" w:eastAsia="SimSun" w:hAnsi="Cambria Math"/>
                                </w:rPr>
                                <m:t>α</m:t>
                              </m:r>
                            </m:e>
                            <m:sub>
                              <m:r>
                                <w:rPr>
                                  <w:rFonts w:ascii="Cambria Math" w:eastAsia="SimSun" w:hAnsi="Cambria Math"/>
                                </w:rPr>
                                <m:t>M</m:t>
                              </m:r>
                            </m:sub>
                          </m:sSub>
                        </m:e>
                        <m:e>
                          <m:r>
                            <w:rPr>
                              <w:rFonts w:ascii="Cambria Math" w:eastAsia="SimSun" w:hAnsi="Cambria Math"/>
                            </w:rPr>
                            <m:t>cos</m:t>
                          </m:r>
                          <m:sSub>
                            <m:sSubPr>
                              <m:ctrlPr>
                                <w:rPr>
                                  <w:rFonts w:ascii="Cambria Math" w:eastAsia="SimSun" w:hAnsi="Cambria Math"/>
                                  <w:i/>
                                </w:rPr>
                              </m:ctrlPr>
                            </m:sSubPr>
                            <m:e>
                              <m:r>
                                <w:rPr>
                                  <w:rFonts w:ascii="Cambria Math" w:eastAsia="SimSun" w:hAnsi="Cambria Math"/>
                                </w:rPr>
                                <m:t>α</m:t>
                              </m:r>
                            </m:e>
                            <m:sub>
                              <m:r>
                                <w:rPr>
                                  <w:rFonts w:ascii="Cambria Math" w:eastAsia="SimSun" w:hAnsi="Cambria Math"/>
                                </w:rPr>
                                <m:t>M</m:t>
                              </m:r>
                            </m:sub>
                          </m:sSub>
                        </m:e>
                      </m:mr>
                    </m:m>
                  </m:e>
                </m:d>
              </m:oMath>
            </m:oMathPara>
          </w:p>
        </w:tc>
        <w:tc>
          <w:tcPr>
            <w:tcW w:w="1096" w:type="dxa"/>
            <w:vAlign w:val="center"/>
          </w:tcPr>
          <w:p w14:paraId="1A5EABD5" w14:textId="77777777" w:rsidR="00D75FF1" w:rsidRPr="00E03861" w:rsidRDefault="00D75FF1" w:rsidP="00BE3117">
            <w:pPr>
              <w:numPr>
                <w:ilvl w:val="0"/>
                <w:numId w:val="7"/>
              </w:numPr>
              <w:overflowPunct/>
              <w:autoSpaceDE/>
              <w:autoSpaceDN/>
              <w:adjustRightInd/>
              <w:spacing w:before="120" w:after="120" w:line="360" w:lineRule="auto"/>
              <w:jc w:val="left"/>
              <w:textAlignment w:val="auto"/>
              <w:rPr>
                <w:rFonts w:ascii="Times New Roman" w:eastAsiaTheme="minorEastAsia" w:hAnsi="Times New Roman"/>
                <w:b/>
                <w:i/>
              </w:rPr>
            </w:pPr>
            <w:bookmarkStart w:id="1" w:name="_Ref530477488"/>
            <w:r w:rsidRPr="00E03861">
              <w:rPr>
                <w:rFonts w:ascii="Times New Roman" w:eastAsiaTheme="minorEastAsia" w:hAnsi="Times New Roman"/>
                <w:b/>
                <w:i/>
              </w:rPr>
              <w:t xml:space="preserve"> </w:t>
            </w:r>
            <w:bookmarkEnd w:id="1"/>
          </w:p>
        </w:tc>
      </w:tr>
    </w:tbl>
    <w:p w14:paraId="6CEEB865" w14:textId="77B6A0AA" w:rsidR="00172ABD" w:rsidRDefault="00172ABD" w:rsidP="00BE3117">
      <w:pPr>
        <w:spacing w:line="360" w:lineRule="auto"/>
        <w:rPr>
          <w:rFonts w:eastAsiaTheme="minorEastAsia"/>
        </w:rPr>
      </w:pPr>
      <w:r>
        <w:t xml:space="preserve">Un vecteur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0</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d>
              <m:dPr>
                <m:ctrlPr>
                  <w:rPr>
                    <w:rFonts w:ascii="Cambria Math" w:hAnsi="Cambria Math"/>
                    <w:i/>
                  </w:rPr>
                </m:ctrlPr>
              </m:dPr>
              <m:e>
                <m:r>
                  <w:rPr>
                    <w:rFonts w:ascii="Cambria Math" w:hAnsi="Cambria Math"/>
                  </w:rPr>
                  <m:t>cos</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,sin</m:t>
                </m:r>
                <m:sSub>
                  <m:sSubPr>
                    <m:ctrlPr>
                      <w:rPr>
                        <w:rFonts w:ascii="Cambria Math" w:hAnsi="Cambria Math"/>
                        <w:i/>
                      </w:rPr>
                    </m:ctrlPr>
                  </m:sSubPr>
                  <m:e>
                    <m:r>
                      <w:rPr>
                        <w:rFonts w:ascii="Cambria Math" w:hAnsi="Cambria Math"/>
                      </w:rPr>
                      <m:t>α</m:t>
                    </m:r>
                  </m:e>
                  <m:sub>
                    <m:r>
                      <w:rPr>
                        <w:rFonts w:ascii="Cambria Math" w:hAnsi="Cambria Math"/>
                      </w:rPr>
                      <m:t>0</m:t>
                    </m:r>
                  </m:sub>
                </m:sSub>
              </m:e>
            </m:d>
          </m:e>
          <m:sup>
            <m:r>
              <w:rPr>
                <w:rFonts w:ascii="Cambria Math" w:hAnsi="Cambria Math"/>
              </w:rPr>
              <m:t>T</m:t>
            </m:r>
          </m:sup>
        </m:sSup>
      </m:oMath>
      <w:r>
        <w:t xml:space="preserve"> multiplie par la matrice </w:t>
      </w:r>
      <m:oMath>
        <m:r>
          <m:rPr>
            <m:sty m:val="bi"/>
          </m:rPr>
          <w:rPr>
            <w:rFonts w:ascii="Cambria Math" w:hAnsi="Cambria Math" w:cs="Cambria Math"/>
          </w:rPr>
          <m:t>M</m:t>
        </m:r>
      </m:oMath>
      <w:r w:rsidRPr="0033514F">
        <w:rPr>
          <w:rFonts w:eastAsiaTheme="minorEastAsia"/>
        </w:rPr>
        <w:t xml:space="preserve"> subi </w:t>
      </w:r>
      <w:r>
        <w:rPr>
          <w:rFonts w:eastAsiaTheme="minorEastAsia"/>
        </w:rPr>
        <w:t xml:space="preserve">une homothétie </w:t>
      </w:r>
      <m:oMath>
        <m:d>
          <m:dPr>
            <m:begChr m:val="|"/>
            <m:endChr m:val="|"/>
            <m:ctrlPr>
              <w:rPr>
                <w:rFonts w:ascii="Cambria Math" w:eastAsia="Calibri" w:hAnsi="Cambria Math"/>
                <w:i/>
              </w:rPr>
            </m:ctrlPr>
          </m:dPr>
          <m:e>
            <m:r>
              <w:rPr>
                <w:rFonts w:ascii="Cambria Math" w:hAnsi="Cambria Math"/>
              </w:rPr>
              <m:t>M</m:t>
            </m:r>
          </m:e>
        </m:d>
      </m:oMath>
      <w:r>
        <w:rPr>
          <w:rFonts w:eastAsiaTheme="minorEastAsia"/>
        </w:rPr>
        <w:t xml:space="preserve"> et une rotation </w:t>
      </w:r>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oMath>
      <w:r>
        <w:rPr>
          <w:rFonts w:eastAsiaTheme="minorEastAsia"/>
        </w:rPr>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172ABD" w:rsidRPr="00E03861" w14:paraId="2FD1F70E" w14:textId="77777777" w:rsidTr="008D5107">
        <w:trPr>
          <w:trHeight w:val="635"/>
          <w:tblHeader/>
          <w:jc w:val="center"/>
        </w:trPr>
        <w:tc>
          <w:tcPr>
            <w:tcW w:w="7943" w:type="dxa"/>
            <w:vAlign w:val="center"/>
          </w:tcPr>
          <w:p w14:paraId="29481AAA" w14:textId="65594127" w:rsidR="00172ABD" w:rsidRPr="00656675" w:rsidRDefault="008E61D2" w:rsidP="00BE3117">
            <w:pPr>
              <w:spacing w:after="160"/>
              <w:rPr>
                <w:rFonts w:eastAsiaTheme="minorEastAsia"/>
              </w:rPr>
            </w:pPr>
            <m:oMathPara>
              <m:oMath>
                <m:sSub>
                  <m:sSubPr>
                    <m:ctrlPr>
                      <w:rPr>
                        <w:rFonts w:ascii="Cambria Math" w:eastAsiaTheme="minorHAnsi" w:hAnsi="Cambria Math" w:cstheme="minorBidi"/>
                        <w:b/>
                        <w:i/>
                      </w:rPr>
                    </m:ctrlPr>
                  </m:sSubPr>
                  <m:e>
                    <m:r>
                      <m:rPr>
                        <m:sty m:val="bi"/>
                      </m:rPr>
                      <w:rPr>
                        <w:rFonts w:ascii="Cambria Math" w:hAnsi="Cambria Math"/>
                      </w:rPr>
                      <m:t>v</m:t>
                    </m:r>
                  </m:e>
                  <m:sub>
                    <m:r>
                      <m:rPr>
                        <m:sty m:val="bi"/>
                      </m:rPr>
                      <w:rPr>
                        <w:rFonts w:ascii="Cambria Math" w:hAnsi="Cambria Math"/>
                      </w:rPr>
                      <m:t>1</m:t>
                    </m:r>
                  </m:sub>
                </m:sSub>
                <m:r>
                  <w:rPr>
                    <w:rFonts w:ascii="Cambria Math" w:hAnsi="Cambria Math"/>
                  </w:rPr>
                  <m:t>=</m:t>
                </m:r>
                <m:r>
                  <m:rPr>
                    <m:sty m:val="bi"/>
                  </m:rPr>
                  <w:rPr>
                    <w:rFonts w:ascii="Cambria Math" w:hAnsi="Cambria Math"/>
                  </w:rPr>
                  <m:t>M</m:t>
                </m:r>
                <m:sSub>
                  <m:sSubPr>
                    <m:ctrlPr>
                      <w:rPr>
                        <w:rFonts w:ascii="Cambria Math" w:eastAsiaTheme="minorHAnsi" w:hAnsi="Cambria Math" w:cstheme="minorBidi"/>
                        <w:b/>
                        <w:i/>
                      </w:rPr>
                    </m:ctrlPr>
                  </m:sSubPr>
                  <m:e>
                    <m:r>
                      <m:rPr>
                        <m:sty m:val="bi"/>
                      </m:rPr>
                      <w:rPr>
                        <w:rFonts w:ascii="Cambria Math" w:hAnsi="Cambria Math"/>
                      </w:rPr>
                      <m:t>v</m:t>
                    </m:r>
                  </m:e>
                  <m:sub>
                    <m:r>
                      <m:rPr>
                        <m:sty m:val="bi"/>
                      </m:rPr>
                      <w:rPr>
                        <w:rFonts w:ascii="Cambria Math" w:hAnsi="Cambria Math"/>
                      </w:rPr>
                      <m:t>0</m:t>
                    </m:r>
                  </m:sub>
                </m:sSub>
                <m:r>
                  <w:rPr>
                    <w:rFonts w:ascii="Cambria Math" w:hAnsi="Cambria Math"/>
                  </w:rPr>
                  <m:t>=</m:t>
                </m:r>
                <m:d>
                  <m:dPr>
                    <m:begChr m:val="|"/>
                    <m:endChr m:val="|"/>
                    <m:ctrlPr>
                      <w:rPr>
                        <w:rFonts w:ascii="Cambria Math" w:eastAsiaTheme="minorHAnsi" w:hAnsi="Cambria Math" w:cstheme="minorBidi"/>
                        <w:i/>
                      </w:rPr>
                    </m:ctrlPr>
                  </m:dPr>
                  <m:e>
                    <m:sSub>
                      <m:sSubPr>
                        <m:ctrlPr>
                          <w:rPr>
                            <w:rFonts w:ascii="Cambria Math" w:eastAsiaTheme="minorHAnsi" w:hAnsi="Cambria Math" w:cstheme="minorBidi"/>
                            <w:i/>
                          </w:rPr>
                        </m:ctrlPr>
                      </m:sSubPr>
                      <m:e>
                        <m:r>
                          <w:rPr>
                            <w:rFonts w:ascii="Cambria Math" w:hAnsi="Cambria Math"/>
                          </w:rPr>
                          <m:t>v</m:t>
                        </m:r>
                      </m:e>
                      <m:sub>
                        <m:r>
                          <w:rPr>
                            <w:rFonts w:ascii="Cambria Math" w:hAnsi="Cambria Math"/>
                          </w:rPr>
                          <m:t>1</m:t>
                        </m:r>
                      </m:sub>
                    </m:sSub>
                  </m:e>
                </m:d>
                <m:d>
                  <m:dPr>
                    <m:ctrlPr>
                      <w:rPr>
                        <w:rFonts w:ascii="Cambria Math" w:eastAsiaTheme="minorHAnsi" w:hAnsi="Cambria Math" w:cstheme="minorBidi"/>
                        <w:i/>
                      </w:rPr>
                    </m:ctrlPr>
                  </m:dPr>
                  <m:e>
                    <m:eqArr>
                      <m:eqArrPr>
                        <m:ctrlPr>
                          <w:rPr>
                            <w:rFonts w:ascii="Cambria Math" w:hAnsi="Cambria Math"/>
                            <w:i/>
                          </w:rPr>
                        </m:ctrlPr>
                      </m:eqArrPr>
                      <m:e>
                        <m:r>
                          <w:rPr>
                            <w:rFonts w:ascii="Cambria Math" w:hAnsi="Cambria Math"/>
                          </w:rPr>
                          <m:t>cos</m:t>
                        </m:r>
                        <m:sSub>
                          <m:sSubPr>
                            <m:ctrlPr>
                              <w:rPr>
                                <w:rFonts w:ascii="Cambria Math" w:eastAsiaTheme="minorHAnsi" w:hAnsi="Cambria Math" w:cstheme="minorBidi"/>
                                <w:i/>
                              </w:rPr>
                            </m:ctrlPr>
                          </m:sSubPr>
                          <m:e>
                            <m:r>
                              <w:rPr>
                                <w:rFonts w:ascii="Cambria Math" w:hAnsi="Cambria Math"/>
                              </w:rPr>
                              <m:t>α</m:t>
                            </m:r>
                          </m:e>
                          <m:sub>
                            <m:r>
                              <w:rPr>
                                <w:rFonts w:ascii="Cambria Math" w:hAnsi="Cambria Math"/>
                              </w:rPr>
                              <m:t>1</m:t>
                            </m:r>
                          </m:sub>
                        </m:sSub>
                        <m:ctrlPr>
                          <w:rPr>
                            <w:rFonts w:ascii="Cambria Math" w:eastAsiaTheme="minorHAnsi" w:hAnsi="Cambria Math" w:cstheme="minorBidi"/>
                            <w:i/>
                          </w:rPr>
                        </m:ctrlPr>
                      </m:e>
                      <m:e>
                        <m:r>
                          <w:rPr>
                            <w:rFonts w:ascii="Cambria Math" w:hAnsi="Cambria Math"/>
                          </w:rPr>
                          <m:t>sin</m:t>
                        </m:r>
                        <m:sSub>
                          <m:sSubPr>
                            <m:ctrlPr>
                              <w:rPr>
                                <w:rFonts w:ascii="Cambria Math" w:eastAsiaTheme="minorHAnsi" w:hAnsi="Cambria Math" w:cstheme="minorBidi"/>
                                <w:i/>
                              </w:rPr>
                            </m:ctrlPr>
                          </m:sSubPr>
                          <m:e>
                            <m:r>
                              <w:rPr>
                                <w:rFonts w:ascii="Cambria Math" w:hAnsi="Cambria Math"/>
                              </w:rPr>
                              <m:t>α</m:t>
                            </m:r>
                          </m:e>
                          <m:sub>
                            <m:r>
                              <w:rPr>
                                <w:rFonts w:ascii="Cambria Math" w:hAnsi="Cambria Math"/>
                              </w:rPr>
                              <m:t>1</m:t>
                            </m:r>
                          </m:sub>
                        </m:sSub>
                        <m:ctrlPr>
                          <w:rPr>
                            <w:rFonts w:ascii="Cambria Math" w:eastAsiaTheme="minorHAnsi" w:hAnsi="Cambria Math" w:cstheme="minorBidi"/>
                            <w:i/>
                          </w:rPr>
                        </m:ctrlPr>
                      </m:e>
                    </m:eqArr>
                  </m:e>
                </m:d>
                <m:r>
                  <w:rPr>
                    <w:rFonts w:ascii="Cambria Math" w:eastAsiaTheme="minorHAnsi" w:hAnsi="Cambria Math" w:cstheme="minorBidi"/>
                  </w:rPr>
                  <m:t xml:space="preserve"> </m:t>
                </m:r>
              </m:oMath>
            </m:oMathPara>
          </w:p>
        </w:tc>
        <w:tc>
          <w:tcPr>
            <w:tcW w:w="1096" w:type="dxa"/>
            <w:vAlign w:val="center"/>
          </w:tcPr>
          <w:p w14:paraId="4E33AF1E" w14:textId="77777777" w:rsidR="00172ABD" w:rsidRPr="00E03861" w:rsidRDefault="00172ABD" w:rsidP="00BE3117">
            <w:pPr>
              <w:numPr>
                <w:ilvl w:val="0"/>
                <w:numId w:val="7"/>
              </w:numPr>
              <w:overflowPunct/>
              <w:autoSpaceDE/>
              <w:autoSpaceDN/>
              <w:adjustRightInd/>
              <w:spacing w:before="120" w:after="120"/>
              <w:jc w:val="left"/>
              <w:textAlignment w:val="auto"/>
              <w:rPr>
                <w:rFonts w:ascii="Times New Roman" w:eastAsiaTheme="minorEastAsia" w:hAnsi="Times New Roman"/>
                <w:b/>
                <w:i/>
              </w:rPr>
            </w:pPr>
            <w:r w:rsidRPr="00E03861">
              <w:rPr>
                <w:rFonts w:ascii="Times New Roman" w:eastAsiaTheme="minorEastAsia" w:hAnsi="Times New Roman"/>
                <w:b/>
                <w:i/>
              </w:rPr>
              <w:t xml:space="preserve"> </w:t>
            </w:r>
          </w:p>
        </w:tc>
      </w:tr>
    </w:tbl>
    <w:p w14:paraId="2071E23A" w14:textId="2E53C5E6" w:rsidR="00656675" w:rsidRDefault="00656675" w:rsidP="00BE3117">
      <w:pPr>
        <w:spacing w:after="160"/>
        <w:rPr>
          <w:rFonts w:eastAsiaTheme="minorEastAsia"/>
        </w:rPr>
      </w:pPr>
      <w:r>
        <w:rPr>
          <w:rFonts w:eastAsiaTheme="minorEastAsia"/>
        </w:rPr>
        <w:t>Avec </w:t>
      </w:r>
      <m:oMath>
        <m:d>
          <m:dPr>
            <m:begChr m:val="|"/>
            <m:endChr m:val="|"/>
            <m:ctrlPr>
              <w:rPr>
                <w:rFonts w:ascii="Cambria Math" w:eastAsiaTheme="minorHAnsi" w:hAnsi="Cambria Math" w:cstheme="minorBidi"/>
                <w:i/>
              </w:rPr>
            </m:ctrlPr>
          </m:dPr>
          <m:e>
            <m:sSub>
              <m:sSubPr>
                <m:ctrlPr>
                  <w:rPr>
                    <w:rFonts w:ascii="Cambria Math" w:eastAsiaTheme="minorHAnsi" w:hAnsi="Cambria Math" w:cstheme="minorBidi"/>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M</m:t>
            </m:r>
          </m:e>
        </m:d>
        <m:d>
          <m:dPr>
            <m:begChr m:val="|"/>
            <m:endChr m:val="|"/>
            <m:ctrlPr>
              <w:rPr>
                <w:rFonts w:ascii="Cambria Math" w:eastAsiaTheme="minorHAnsi" w:hAnsi="Cambria Math" w:cstheme="minorBidi"/>
                <w:i/>
              </w:rPr>
            </m:ctrlPr>
          </m:dPr>
          <m:e>
            <m:sSub>
              <m:sSubPr>
                <m:ctrlPr>
                  <w:rPr>
                    <w:rFonts w:ascii="Cambria Math" w:eastAsiaTheme="minorHAnsi" w:hAnsi="Cambria Math" w:cstheme="minorBidi"/>
                    <w:i/>
                  </w:rPr>
                </m:ctrlPr>
              </m:sSubPr>
              <m:e>
                <m:r>
                  <w:rPr>
                    <w:rFonts w:ascii="Cambria Math" w:hAnsi="Cambria Math"/>
                  </w:rPr>
                  <m:t>v</m:t>
                </m:r>
              </m:e>
              <m:sub>
                <m:r>
                  <w:rPr>
                    <w:rFonts w:ascii="Cambria Math" w:hAnsi="Cambria Math"/>
                  </w:rPr>
                  <m:t>0</m:t>
                </m:r>
              </m:sub>
            </m:sSub>
          </m:e>
        </m:d>
        <m:r>
          <m:rPr>
            <m:sty m:val="bi"/>
          </m:rPr>
          <w:rPr>
            <w:rFonts w:ascii="Cambria Math" w:hAnsi="Cambria Math"/>
          </w:rPr>
          <m:t xml:space="preserve"> </m:t>
        </m:r>
      </m:oMath>
      <w:r w:rsidRPr="00656675">
        <w:rPr>
          <w:rFonts w:eastAsiaTheme="minorEastAsia"/>
        </w:rPr>
        <w:t>et</w:t>
      </w:r>
      <m:oMath>
        <m:r>
          <w:rPr>
            <w:rFonts w:ascii="Cambria Math" w:eastAsiaTheme="minorEastAsia" w:hAnsi="Cambria Math"/>
          </w:rPr>
          <m:t xml:space="preserve"> </m:t>
        </m:r>
        <m:sSub>
          <m:sSubPr>
            <m:ctrlPr>
              <w:rPr>
                <w:rFonts w:ascii="Cambria Math" w:eastAsiaTheme="minorHAnsi" w:hAnsi="Cambria Math" w:cstheme="minorBidi"/>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eastAsiaTheme="minorHAnsi" w:hAnsi="Cambria Math" w:cstheme="minorBidi"/>
                <w:i/>
              </w:rPr>
            </m:ctrlPr>
          </m:sSubPr>
          <m:e>
            <m:r>
              <w:rPr>
                <w:rFonts w:ascii="Cambria Math" w:hAnsi="Cambria Math"/>
              </w:rPr>
              <m:t>α</m:t>
            </m:r>
          </m:e>
          <m:sub>
            <m:r>
              <w:rPr>
                <w:rFonts w:ascii="Cambria Math" w:hAnsi="Cambria Math"/>
              </w:rPr>
              <m:t>0</m:t>
            </m:r>
          </m:sub>
        </m:sSub>
        <m:r>
          <w:rPr>
            <w:rFonts w:ascii="Cambria Math" w:eastAsiaTheme="minorHAnsi" w:hAnsi="Cambria Math" w:cstheme="minorBidi"/>
          </w:rPr>
          <m:t>-</m:t>
        </m:r>
        <m:sSub>
          <m:sSubPr>
            <m:ctrlPr>
              <w:rPr>
                <w:rFonts w:ascii="Cambria Math" w:eastAsiaTheme="minorHAnsi" w:hAnsi="Cambria Math" w:cstheme="minorBidi"/>
                <w:i/>
              </w:rPr>
            </m:ctrlPr>
          </m:sSubPr>
          <m:e>
            <m:r>
              <w:rPr>
                <w:rFonts w:ascii="Cambria Math" w:hAnsi="Cambria Math"/>
              </w:rPr>
              <m:t>α</m:t>
            </m:r>
          </m:e>
          <m:sub>
            <m:r>
              <w:rPr>
                <w:rFonts w:ascii="Cambria Math" w:hAnsi="Cambria Math"/>
              </w:rPr>
              <m:t>M</m:t>
            </m:r>
          </m:sub>
        </m:sSub>
      </m:oMath>
      <w:r>
        <w:rPr>
          <w:rFonts w:eastAsiaTheme="minorEastAsia"/>
        </w:rPr>
        <w:t>.</w:t>
      </w:r>
    </w:p>
    <w:p w14:paraId="34B42C6D" w14:textId="21CC3E9C" w:rsidR="00BE3117" w:rsidRDefault="00BE3117" w:rsidP="00BE3117">
      <w:pPr>
        <w:spacing w:line="360" w:lineRule="auto"/>
      </w:pPr>
      <w:r>
        <w:t xml:space="preserve">Le module </w:t>
      </w:r>
      <m:oMath>
        <m:d>
          <m:dPr>
            <m:begChr m:val="|"/>
            <m:endChr m:val="|"/>
            <m:ctrlPr>
              <w:rPr>
                <w:rFonts w:ascii="Cambria Math" w:hAnsi="Cambria Math"/>
                <w:i/>
              </w:rPr>
            </m:ctrlPr>
          </m:dPr>
          <m:e>
            <m:r>
              <w:rPr>
                <w:rFonts w:ascii="Cambria Math" w:hAnsi="Cambria Math"/>
              </w:rPr>
              <m:t>M</m:t>
            </m:r>
          </m:e>
        </m:d>
      </m:oMath>
      <w:r>
        <w:rPr>
          <w:rFonts w:eastAsiaTheme="minorEastAsia"/>
        </w:rPr>
        <w:t xml:space="preserve"> </w:t>
      </w:r>
      <w:r>
        <w:t xml:space="preserve">des coefficients décrit une sensibilité du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Pr>
          <w:rFonts w:eastAsiaTheme="minorEastAsia"/>
        </w:rPr>
        <w:t xml:space="preserve"> par rapport à</w:t>
      </w:r>
      <m:oMath>
        <m:r>
          <w:rPr>
            <w:rFonts w:ascii="Cambria Math" w:eastAsiaTheme="minorEastAsia"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oMath>
      <w:r>
        <w:t xml:space="preserve">. L’angle de rotation </w:t>
      </w:r>
      <m:oMath>
        <m:sSub>
          <m:sSubPr>
            <m:ctrlPr>
              <w:rPr>
                <w:rFonts w:ascii="Cambria Math" w:hAnsi="Cambria Math"/>
                <w:i/>
              </w:rPr>
            </m:ctrlPr>
          </m:sSubPr>
          <m:e>
            <m:r>
              <w:rPr>
                <w:rFonts w:ascii="Cambria Math" w:hAnsi="Cambria Math"/>
              </w:rPr>
              <m:t>α</m:t>
            </m:r>
          </m:e>
          <m:sub>
            <m:r>
              <w:rPr>
                <w:rFonts w:ascii="Cambria Math" w:hAnsi="Cambria Math"/>
              </w:rPr>
              <m:t>M</m:t>
            </m:r>
          </m:sub>
        </m:sSub>
      </m:oMath>
      <w:r>
        <w:t xml:space="preserve"> décrit le déphasage entre les deux vecteurs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0</m:t>
            </m:r>
          </m:sub>
        </m:sSub>
      </m:oMath>
      <w:r>
        <w:rPr>
          <w:rFonts w:eastAsiaTheme="minorEastAsia"/>
        </w:rPr>
        <w:t xml:space="preserve"> et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sub>
        </m:sSub>
      </m:oMath>
      <w:r>
        <w:t xml:space="preserve"> utilisés pour décrire les informations physiques concernés</w:t>
      </w:r>
      <w:r w:rsidR="000A2D61">
        <w:t xml:space="preserve">. </w:t>
      </w:r>
    </w:p>
    <w:p w14:paraId="131812F2" w14:textId="1D9B9360" w:rsidR="00FA40FE" w:rsidRDefault="00FA40FE" w:rsidP="00FA40FE">
      <w:pPr>
        <w:pStyle w:val="Titre2"/>
      </w:pPr>
      <w:r>
        <w:t>Critère de stabilité</w:t>
      </w:r>
    </w:p>
    <w:p w14:paraId="5444134B" w14:textId="77777777" w:rsidR="00FA40FE" w:rsidRPr="00FA40FE" w:rsidRDefault="00FA40FE" w:rsidP="00FA40FE"/>
    <w:p w14:paraId="48F05BB5" w14:textId="575050DC" w:rsidR="00010785" w:rsidRDefault="000B47E9" w:rsidP="00EF1C4F">
      <w:pPr>
        <w:spacing w:line="360" w:lineRule="auto"/>
        <w:rPr>
          <w:rFonts w:eastAsiaTheme="minorEastAsia"/>
          <w:lang w:eastAsia="zh-CN"/>
        </w:rPr>
      </w:pPr>
      <w:r>
        <w:t xml:space="preserve">Le critère de stabilité </w:t>
      </w:r>
      <w:r w:rsidR="007E3891">
        <w:t xml:space="preserve">de l’effet Morton s’est </w:t>
      </w:r>
      <w:r w:rsidR="00B50628">
        <w:t>basé</w:t>
      </w:r>
      <w:r w:rsidR="00013BF8">
        <w:t xml:space="preserve"> sur l’évolution d’état thermique en régime transitoire.  </w:t>
      </w:r>
      <w:r w:rsidR="00010785">
        <w:rPr>
          <w:rFonts w:eastAsiaTheme="minorEastAsia"/>
          <w:lang w:eastAsia="zh-CN"/>
        </w:rPr>
        <w:t>Lors du fonctionnement du système</w:t>
      </w:r>
      <w:r w:rsidR="00766630">
        <w:rPr>
          <w:rFonts w:eastAsiaTheme="minorEastAsia"/>
          <w:lang w:eastAsia="zh-CN"/>
        </w:rPr>
        <w:t xml:space="preserve"> rotor</w:t>
      </w:r>
      <w:r w:rsidR="00766630" w:rsidRPr="002C2706">
        <w:rPr>
          <w:rFonts w:eastAsiaTheme="minorEastAsia"/>
          <w:lang w:eastAsia="zh-CN"/>
        </w:rPr>
        <w:t>,</w:t>
      </w:r>
      <w:r w:rsidR="00766630" w:rsidRPr="002C2706">
        <w:t xml:space="preserve"> </w:t>
      </w:r>
      <w:r w:rsidR="00766630" w:rsidRPr="002C2706">
        <w:rPr>
          <w:rFonts w:eastAsiaTheme="minorEastAsia"/>
          <w:lang w:eastAsia="zh-CN"/>
        </w:rPr>
        <w:t>le calcul de l'évolution temp</w:t>
      </w:r>
      <w:r w:rsidR="00766630">
        <w:rPr>
          <w:rFonts w:eastAsiaTheme="minorEastAsia"/>
          <w:lang w:eastAsia="zh-CN"/>
        </w:rPr>
        <w:t xml:space="preserve">orelle de </w:t>
      </w:r>
      <w:r w:rsidR="00010785">
        <w:rPr>
          <w:rFonts w:eastAsiaTheme="minorEastAsia"/>
          <w:lang w:eastAsia="zh-CN"/>
        </w:rPr>
        <w:t xml:space="preserve">son </w:t>
      </w:r>
      <w:r w:rsidR="00766630">
        <w:rPr>
          <w:rFonts w:eastAsiaTheme="minorEastAsia"/>
          <w:lang w:eastAsia="zh-CN"/>
        </w:rPr>
        <w:t xml:space="preserve">état thermique peut être décrit </w:t>
      </w:r>
      <w:r w:rsidR="00010785">
        <w:rPr>
          <w:rFonts w:eastAsiaTheme="minorEastAsia"/>
          <w:lang w:eastAsia="zh-CN"/>
        </w:rPr>
        <w:t xml:space="preserve">par </w:t>
      </w:r>
      <w:r w:rsidR="00766630">
        <w:rPr>
          <w:rFonts w:eastAsiaTheme="minorEastAsia"/>
          <w:lang w:eastAsia="zh-CN"/>
        </w:rPr>
        <w:t xml:space="preserve">l’équation </w:t>
      </w:r>
      <w:r w:rsidR="007700C1">
        <w:rPr>
          <w:rFonts w:eastAsiaTheme="minorEastAsia"/>
          <w:lang w:eastAsia="zh-CN"/>
        </w:rPr>
        <w:fldChar w:fldCharType="begin"/>
      </w:r>
      <w:r w:rsidR="007700C1">
        <w:rPr>
          <w:rFonts w:eastAsiaTheme="minorEastAsia"/>
          <w:lang w:eastAsia="zh-CN"/>
        </w:rPr>
        <w:instrText xml:space="preserve"> REF _Ref530059670 \r \h </w:instrText>
      </w:r>
      <w:r w:rsidR="00EF1C4F">
        <w:rPr>
          <w:rFonts w:eastAsiaTheme="minorEastAsia"/>
          <w:lang w:eastAsia="zh-CN"/>
        </w:rPr>
        <w:instrText xml:space="preserve"> \* MERGEFORMAT </w:instrText>
      </w:r>
      <w:r w:rsidR="007700C1">
        <w:rPr>
          <w:rFonts w:eastAsiaTheme="minorEastAsia"/>
          <w:lang w:eastAsia="zh-CN"/>
        </w:rPr>
      </w:r>
      <w:r w:rsidR="007700C1">
        <w:rPr>
          <w:rFonts w:eastAsiaTheme="minorEastAsia"/>
          <w:lang w:eastAsia="zh-CN"/>
        </w:rPr>
        <w:fldChar w:fldCharType="separate"/>
      </w:r>
      <w:r w:rsidR="00EC1134">
        <w:rPr>
          <w:rFonts w:eastAsiaTheme="minorEastAsia"/>
          <w:lang w:eastAsia="zh-CN"/>
        </w:rPr>
        <w:t>Eq.4</w:t>
      </w:r>
      <w:r w:rsidR="007700C1">
        <w:rPr>
          <w:rFonts w:eastAsiaTheme="minorEastAsia"/>
          <w:lang w:eastAsia="zh-CN"/>
        </w:rPr>
        <w:fldChar w:fldCharType="end"/>
      </w:r>
      <w:r w:rsidR="00766630">
        <w:rPr>
          <w:rFonts w:eastAsiaTheme="minorEastAsia"/>
          <w:lang w:eastAsia="zh-CN"/>
        </w:rPr>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766630" w:rsidRPr="00E03861" w14:paraId="18E65465" w14:textId="77777777" w:rsidTr="00010785">
        <w:trPr>
          <w:trHeight w:val="635"/>
          <w:tblHeader/>
          <w:jc w:val="center"/>
        </w:trPr>
        <w:tc>
          <w:tcPr>
            <w:tcW w:w="7943" w:type="dxa"/>
            <w:vAlign w:val="center"/>
          </w:tcPr>
          <w:p w14:paraId="5E5B3EF4" w14:textId="61A7ACB7" w:rsidR="00787419" w:rsidRDefault="0065315D" w:rsidP="00EF1C4F">
            <w:pPr>
              <w:spacing w:after="160"/>
              <w:rPr>
                <w:rFonts w:eastAsiaTheme="minorEastAsia"/>
                <w:lang w:eastAsia="zh-CN"/>
              </w:rPr>
            </w:pPr>
            <m:oMathPara>
              <m:oMath>
                <m:r>
                  <w:rPr>
                    <w:rFonts w:ascii="Cambria Math" w:eastAsiaTheme="minorEastAsia" w:hAnsi="Cambria Math"/>
                    <w:lang w:eastAsia="zh-CN"/>
                  </w:rPr>
                  <m:t>D</m:t>
                </m:r>
                <m:acc>
                  <m:accPr>
                    <m:chr m:val="̇"/>
                    <m:ctrlPr>
                      <w:rPr>
                        <w:rFonts w:ascii="Cambria Math" w:eastAsiaTheme="minorEastAsia" w:hAnsi="Cambria Math"/>
                        <w:b/>
                        <w:i/>
                        <w:lang w:eastAsia="zh-CN"/>
                      </w:rPr>
                    </m:ctrlPr>
                  </m:accPr>
                  <m:e>
                    <m:r>
                      <m:rPr>
                        <m:sty m:val="bi"/>
                      </m:rPr>
                      <w:rPr>
                        <w:rFonts w:ascii="Cambria Math" w:eastAsiaTheme="minorEastAsia" w:hAnsi="Cambria Math"/>
                        <w:lang w:eastAsia="zh-CN"/>
                      </w:rPr>
                      <m:t>T</m:t>
                    </m:r>
                  </m:e>
                </m:acc>
                <m:d>
                  <m:dPr>
                    <m:ctrlPr>
                      <w:rPr>
                        <w:rFonts w:ascii="Cambria Math" w:eastAsiaTheme="minorEastAsia" w:hAnsi="Cambria Math"/>
                        <w:b/>
                        <w:i/>
                        <w:lang w:eastAsia="zh-CN"/>
                      </w:rPr>
                    </m:ctrlPr>
                  </m:dPr>
                  <m:e>
                    <m:r>
                      <w:rPr>
                        <w:rFonts w:ascii="Cambria Math" w:eastAsiaTheme="minorEastAsia" w:hAnsi="Cambria Math"/>
                        <w:lang w:eastAsia="zh-CN"/>
                      </w:rPr>
                      <m:t>t</m:t>
                    </m:r>
                  </m:e>
                </m:d>
                <m:r>
                  <w:rPr>
                    <w:rFonts w:ascii="Cambria Math" w:hAnsi="Cambria Math"/>
                  </w:rPr>
                  <m:t>+K</m:t>
                </m:r>
                <m:d>
                  <m:dPr>
                    <m:begChr m:val="["/>
                    <m:endChr m:val="]"/>
                    <m:ctrlPr>
                      <w:rPr>
                        <w:rFonts w:ascii="Cambria Math" w:hAnsi="Cambria Math"/>
                        <w:b/>
                        <w:i/>
                      </w:rPr>
                    </m:ctrlPr>
                  </m:dPr>
                  <m:e>
                    <m:r>
                      <m:rPr>
                        <m:sty m:val="bi"/>
                      </m:rPr>
                      <w:rPr>
                        <w:rFonts w:ascii="Cambria Math" w:hAnsi="Cambria Math"/>
                      </w:rPr>
                      <m:t>T</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ss</m:t>
                        </m:r>
                      </m:sub>
                    </m:sSub>
                  </m:e>
                </m:d>
                <m:r>
                  <w:rPr>
                    <w:rFonts w:ascii="Cambria Math" w:hAnsi="Cambria Math"/>
                  </w:rPr>
                  <m:t>=0</m:t>
                </m:r>
              </m:oMath>
            </m:oMathPara>
          </w:p>
          <w:p w14:paraId="5DAE46AA" w14:textId="0AF9A1DA" w:rsidR="00766630" w:rsidRPr="00E03861" w:rsidRDefault="00766630" w:rsidP="00EF1C4F">
            <w:pPr>
              <w:spacing w:after="160"/>
              <w:rPr>
                <w:rFonts w:asciiTheme="minorHAnsi" w:eastAsiaTheme="minorEastAsia" w:hAnsiTheme="minorHAnsi"/>
                <w:lang w:eastAsia="zh-CN"/>
              </w:rPr>
            </w:pPr>
            <w:r w:rsidRPr="00E03861">
              <w:rPr>
                <w:rFonts w:asciiTheme="minorHAnsi" w:eastAsiaTheme="minorEastAsia" w:hAnsiTheme="minorHAnsi"/>
                <w:lang w:eastAsia="zh-CN"/>
              </w:rPr>
              <w:t>ou</w:t>
            </w:r>
          </w:p>
          <w:p w14:paraId="01D9D695" w14:textId="2196C6BD" w:rsidR="00766630" w:rsidRPr="00E03861" w:rsidRDefault="00766630" w:rsidP="00EF1C4F">
            <w:pPr>
              <w:spacing w:after="160"/>
              <w:rPr>
                <w:rFonts w:asciiTheme="minorHAnsi" w:eastAsiaTheme="minorEastAsia" w:hAnsiTheme="minorHAnsi"/>
                <w:lang w:eastAsia="zh-CN"/>
              </w:rPr>
            </w:pPr>
            <m:oMathPara>
              <m:oMath>
                <m:r>
                  <w:rPr>
                    <w:rFonts w:ascii="Cambria Math" w:eastAsiaTheme="minorEastAsia" w:hAnsi="Cambria Math"/>
                    <w:lang w:eastAsia="zh-CN"/>
                  </w:rPr>
                  <m:t>τ</m:t>
                </m:r>
                <m:acc>
                  <m:accPr>
                    <m:chr m:val="̇"/>
                    <m:ctrlPr>
                      <w:rPr>
                        <w:rFonts w:ascii="Cambria Math" w:eastAsiaTheme="minorEastAsia" w:hAnsi="Cambria Math"/>
                        <w:b/>
                        <w:i/>
                        <w:lang w:eastAsia="zh-CN"/>
                      </w:rPr>
                    </m:ctrlPr>
                  </m:accPr>
                  <m:e>
                    <m:r>
                      <m:rPr>
                        <m:sty m:val="bi"/>
                      </m:rPr>
                      <w:rPr>
                        <w:rFonts w:ascii="Cambria Math" w:eastAsiaTheme="minorEastAsia" w:hAnsi="Cambria Math"/>
                        <w:lang w:eastAsia="zh-CN"/>
                      </w:rPr>
                      <m:t>T</m:t>
                    </m:r>
                  </m:e>
                </m:acc>
                <m:d>
                  <m:dPr>
                    <m:ctrlPr>
                      <w:rPr>
                        <w:rFonts w:ascii="Cambria Math" w:eastAsiaTheme="minorEastAsia" w:hAnsi="Cambria Math"/>
                        <w:b/>
                        <w:i/>
                        <w:lang w:eastAsia="zh-CN"/>
                      </w:rPr>
                    </m:ctrlPr>
                  </m:dPr>
                  <m:e>
                    <m:r>
                      <w:rPr>
                        <w:rFonts w:ascii="Cambria Math" w:eastAsiaTheme="minorEastAsia" w:hAnsi="Cambria Math"/>
                        <w:lang w:eastAsia="zh-CN"/>
                      </w:rPr>
                      <m:t>t</m:t>
                    </m:r>
                  </m:e>
                </m:d>
                <m:r>
                  <m:rPr>
                    <m:sty m:val="bi"/>
                  </m:rPr>
                  <w:rPr>
                    <w:rFonts w:ascii="Cambria Math" w:eastAsiaTheme="minorEastAsia" w:hAnsi="Cambria Math"/>
                    <w:lang w:eastAsia="zh-CN"/>
                  </w:rPr>
                  <m:t>+</m:t>
                </m:r>
                <m:r>
                  <m:rPr>
                    <m:sty m:val="bi"/>
                  </m:rPr>
                  <w:rPr>
                    <w:rFonts w:ascii="Cambria Math" w:hAnsi="Cambria Math"/>
                  </w:rPr>
                  <m:t>T</m:t>
                </m:r>
                <m:d>
                  <m:dPr>
                    <m:ctrlPr>
                      <w:rPr>
                        <w:rFonts w:ascii="Cambria Math" w:hAnsi="Cambria Math"/>
                        <w:i/>
                      </w:rPr>
                    </m:ctrlPr>
                  </m:dPr>
                  <m:e>
                    <m:r>
                      <w:rPr>
                        <w:rFonts w:ascii="Cambria Math" w:hAnsi="Cambria Math"/>
                      </w:rPr>
                      <m:t>t</m:t>
                    </m:r>
                  </m:e>
                </m:d>
                <m:r>
                  <w:rPr>
                    <w:rFonts w:ascii="Cambria Math" w:eastAsiaTheme="minorEastAsia" w:hAnsi="Cambria Math"/>
                    <w:lang w:eastAsia="zh-CN"/>
                  </w:rPr>
                  <m:t>=</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ss</m:t>
                    </m:r>
                  </m:sub>
                </m:sSub>
              </m:oMath>
            </m:oMathPara>
          </w:p>
        </w:tc>
        <w:tc>
          <w:tcPr>
            <w:tcW w:w="1096" w:type="dxa"/>
            <w:vAlign w:val="center"/>
          </w:tcPr>
          <w:p w14:paraId="1D09B80C" w14:textId="77777777" w:rsidR="00766630" w:rsidRPr="00E03861" w:rsidRDefault="00766630" w:rsidP="00EF1C4F">
            <w:pPr>
              <w:numPr>
                <w:ilvl w:val="0"/>
                <w:numId w:val="7"/>
              </w:numPr>
              <w:overflowPunct/>
              <w:autoSpaceDE/>
              <w:autoSpaceDN/>
              <w:adjustRightInd/>
              <w:spacing w:before="120" w:after="120"/>
              <w:jc w:val="left"/>
              <w:textAlignment w:val="auto"/>
              <w:rPr>
                <w:rFonts w:ascii="Times New Roman" w:eastAsiaTheme="minorEastAsia" w:hAnsi="Times New Roman"/>
                <w:b/>
                <w:i/>
              </w:rPr>
            </w:pPr>
            <w:bookmarkStart w:id="2" w:name="_Ref530059670"/>
            <w:r w:rsidRPr="00E03861">
              <w:rPr>
                <w:rFonts w:ascii="Times New Roman" w:eastAsiaTheme="minorEastAsia" w:hAnsi="Times New Roman"/>
                <w:b/>
                <w:i/>
              </w:rPr>
              <w:t xml:space="preserve"> </w:t>
            </w:r>
            <w:bookmarkEnd w:id="2"/>
          </w:p>
        </w:tc>
      </w:tr>
    </w:tbl>
    <w:p w14:paraId="10186B1F" w14:textId="104A7BFC" w:rsidR="006B31DB" w:rsidRPr="00E03861" w:rsidRDefault="006B31DB" w:rsidP="00EF1C4F">
      <w:pPr>
        <w:rPr>
          <w:rFonts w:eastAsiaTheme="minorEastAsia"/>
          <w:lang w:eastAsia="zh-CN"/>
        </w:rPr>
      </w:pPr>
      <w:r w:rsidRPr="00E03861">
        <w:rPr>
          <w:rFonts w:eastAsiaTheme="minorEastAsia"/>
          <w:lang w:eastAsia="zh-CN"/>
        </w:rPr>
        <w:t>Avec</w:t>
      </w:r>
      <w:r w:rsidRPr="00E03861">
        <w:rPr>
          <w:rFonts w:eastAsiaTheme="minorEastAsia"/>
          <w:lang w:eastAsia="zh-CN"/>
        </w:rPr>
        <w:br/>
      </w:r>
      <m:oMath>
        <m:r>
          <m:rPr>
            <m:sty m:val="bi"/>
          </m:rPr>
          <w:rPr>
            <w:rFonts w:ascii="Cambria Math" w:eastAsiaTheme="minorEastAsia" w:hAnsi="Cambria Math"/>
            <w:lang w:eastAsia="zh-CN"/>
          </w:rPr>
          <m:t>T(t)</m:t>
        </m:r>
        <m:r>
          <w:rPr>
            <w:rFonts w:ascii="Cambria Math" w:eastAsiaTheme="minorEastAsia" w:hAnsi="Cambria Math"/>
            <w:lang w:eastAsia="zh-CN"/>
          </w:rPr>
          <m:t>:</m:t>
        </m:r>
      </m:oMath>
      <w:r w:rsidRPr="00E03861">
        <w:rPr>
          <w:rFonts w:eastAsiaTheme="minorEastAsia"/>
          <w:lang w:eastAsia="zh-CN"/>
        </w:rPr>
        <w:t xml:space="preserve"> </w:t>
      </w:r>
      <w:r>
        <w:rPr>
          <w:rFonts w:eastAsiaTheme="minorEastAsia"/>
          <w:lang w:eastAsia="zh-CN"/>
        </w:rPr>
        <w:t xml:space="preserve">vecteur de la </w:t>
      </w:r>
      <w:r w:rsidRPr="00E03861">
        <w:rPr>
          <w:rFonts w:eastAsiaTheme="minorEastAsia"/>
          <w:lang w:eastAsia="zh-CN"/>
        </w:rPr>
        <w:t xml:space="preserve">température dépendant du temps </w:t>
      </w:r>
    </w:p>
    <w:p w14:paraId="13D231AC" w14:textId="77777777" w:rsidR="006B31DB" w:rsidRPr="00E03861" w:rsidRDefault="008E61D2" w:rsidP="00EF1C4F">
      <w:pPr>
        <w:rPr>
          <w:rFonts w:eastAsiaTheme="minorEastAsia"/>
          <w:lang w:eastAsia="zh-CN"/>
        </w:rPr>
      </w:pPr>
      <m:oMath>
        <m:sSub>
          <m:sSubPr>
            <m:ctrlPr>
              <w:rPr>
                <w:rFonts w:ascii="Cambria Math" w:hAnsi="Cambria Math"/>
                <w:b/>
                <w:i/>
              </w:rPr>
            </m:ctrlPr>
          </m:sSubPr>
          <m:e>
            <m:r>
              <m:rPr>
                <m:sty m:val="bi"/>
              </m:rPr>
              <w:rPr>
                <w:rFonts w:ascii="Cambria Math" w:eastAsiaTheme="minorEastAsia" w:hAnsi="Cambria Math"/>
                <w:lang w:eastAsia="zh-CN"/>
              </w:rPr>
              <m:t>T</m:t>
            </m:r>
            <m:ctrlPr>
              <w:rPr>
                <w:rFonts w:ascii="Cambria Math" w:eastAsiaTheme="minorEastAsia" w:hAnsi="Cambria Math"/>
                <w:b/>
                <w:i/>
                <w:lang w:eastAsia="zh-CN"/>
              </w:rPr>
            </m:ctrlPr>
          </m:e>
          <m:sub>
            <m:r>
              <m:rPr>
                <m:sty m:val="bi"/>
              </m:rPr>
              <w:rPr>
                <w:rFonts w:ascii="Cambria Math" w:eastAsiaTheme="minorEastAsia" w:hAnsi="Cambria Math"/>
                <w:lang w:eastAsia="zh-CN"/>
              </w:rPr>
              <m:t>ss</m:t>
            </m:r>
          </m:sub>
        </m:sSub>
        <m:r>
          <w:rPr>
            <w:rFonts w:ascii="Cambria Math" w:eastAsiaTheme="minorEastAsia" w:hAnsi="Cambria Math"/>
            <w:lang w:eastAsia="zh-CN"/>
          </w:rPr>
          <m:t>:</m:t>
        </m:r>
      </m:oMath>
      <w:r w:rsidR="006B31DB" w:rsidRPr="00E03861">
        <w:rPr>
          <w:rFonts w:eastAsiaTheme="minorEastAsia"/>
          <w:lang w:eastAsia="zh-CN"/>
        </w:rPr>
        <w:t xml:space="preserve"> température en régime stationnaire </w:t>
      </w:r>
    </w:p>
    <w:p w14:paraId="01C849D0" w14:textId="62AAAF92" w:rsidR="006B31DB" w:rsidRPr="00E03861" w:rsidRDefault="008E61D2" w:rsidP="00EF1C4F">
      <w:pPr>
        <w:rPr>
          <w:rFonts w:eastAsiaTheme="minorEastAsia"/>
          <w:lang w:eastAsia="zh-CN"/>
        </w:rPr>
      </w:pPr>
      <m:oMath>
        <m:acc>
          <m:accPr>
            <m:chr m:val="̇"/>
            <m:ctrlPr>
              <w:rPr>
                <w:rFonts w:ascii="Cambria Math" w:eastAsiaTheme="minorEastAsia" w:hAnsi="Cambria Math"/>
                <w:b/>
                <w:i/>
                <w:lang w:eastAsia="zh-CN"/>
              </w:rPr>
            </m:ctrlPr>
          </m:accPr>
          <m:e>
            <m:r>
              <m:rPr>
                <m:sty m:val="bi"/>
              </m:rPr>
              <w:rPr>
                <w:rFonts w:ascii="Cambria Math" w:eastAsiaTheme="minorEastAsia" w:hAnsi="Cambria Math"/>
                <w:lang w:eastAsia="zh-CN"/>
              </w:rPr>
              <m:t>T</m:t>
            </m:r>
          </m:e>
        </m:acc>
        <m:d>
          <m:dPr>
            <m:ctrlPr>
              <w:rPr>
                <w:rFonts w:ascii="Cambria Math" w:eastAsiaTheme="minorEastAsia" w:hAnsi="Cambria Math"/>
                <w:b/>
                <w:i/>
                <w:lang w:eastAsia="zh-CN"/>
              </w:rPr>
            </m:ctrlPr>
          </m:dPr>
          <m:e>
            <m:r>
              <w:rPr>
                <w:rFonts w:ascii="Cambria Math" w:eastAsiaTheme="minorEastAsia" w:hAnsi="Cambria Math"/>
                <w:lang w:eastAsia="zh-CN"/>
              </w:rPr>
              <m:t>t</m:t>
            </m:r>
          </m:e>
        </m:d>
      </m:oMath>
      <w:r w:rsidR="006B31DB">
        <w:rPr>
          <w:rFonts w:eastAsiaTheme="minorEastAsia"/>
          <w:lang w:eastAsia="zh-CN"/>
        </w:rPr>
        <w:t xml:space="preserve"> : </w:t>
      </w:r>
      <w:r w:rsidR="006B31DB" w:rsidRPr="00E03861">
        <w:rPr>
          <w:rFonts w:eastAsiaTheme="minorEastAsia"/>
          <w:lang w:eastAsia="zh-CN"/>
        </w:rPr>
        <w:t>vélocité thermique</w:t>
      </w:r>
      <w:r w:rsidR="006B31DB">
        <w:rPr>
          <w:rFonts w:eastAsiaTheme="minorEastAsia"/>
          <w:lang w:eastAsia="zh-CN"/>
        </w:rPr>
        <w:t xml:space="preserve"> ou gradient de température dans le temps</w:t>
      </w:r>
    </w:p>
    <w:p w14:paraId="7BC4581F" w14:textId="1B717058" w:rsidR="006B31DB" w:rsidRPr="00E03861" w:rsidRDefault="0065315D" w:rsidP="00EF1C4F">
      <w:pPr>
        <w:rPr>
          <w:rFonts w:eastAsiaTheme="minorEastAsia"/>
          <w:lang w:eastAsia="zh-CN"/>
        </w:rPr>
      </w:pPr>
      <m:oMath>
        <m:r>
          <w:rPr>
            <w:rFonts w:ascii="Cambria Math" w:hAnsi="Cambria Math"/>
          </w:rPr>
          <m:t>D</m:t>
        </m:r>
      </m:oMath>
      <w:r w:rsidR="006B31DB" w:rsidRPr="00E03861">
        <w:rPr>
          <w:rFonts w:eastAsiaTheme="minorEastAsia"/>
          <w:lang w:eastAsia="zh-CN"/>
        </w:rPr>
        <w:t>: amortissement thermique</w:t>
      </w:r>
      <w:r w:rsidR="00B31D06">
        <w:rPr>
          <w:rFonts w:eastAsiaTheme="minorEastAsia"/>
          <w:lang w:eastAsia="zh-CN"/>
        </w:rPr>
        <w:t xml:space="preserve"> </w:t>
      </w:r>
      <w:r w:rsidR="007F7899">
        <w:rPr>
          <w:rFonts w:eastAsiaTheme="minorEastAsia"/>
          <w:lang w:eastAsia="zh-CN"/>
        </w:rPr>
        <w:t>(équivalent à la</w:t>
      </w:r>
      <w:r w:rsidR="00B31D06">
        <w:rPr>
          <w:rFonts w:eastAsiaTheme="minorEastAsia"/>
          <w:lang w:eastAsia="zh-CN"/>
        </w:rPr>
        <w:t xml:space="preserve"> masse</w:t>
      </w:r>
      <w:r w:rsidR="007F7899">
        <w:rPr>
          <w:rFonts w:eastAsiaTheme="minorEastAsia"/>
          <w:lang w:eastAsia="zh-CN"/>
        </w:rPr>
        <w:t xml:space="preserve"> du rotor)</w:t>
      </w:r>
    </w:p>
    <w:p w14:paraId="367599DF" w14:textId="4A7146D0" w:rsidR="006B31DB" w:rsidRPr="00E03861" w:rsidRDefault="0065315D" w:rsidP="00EF1C4F">
      <w:pPr>
        <w:rPr>
          <w:rFonts w:eastAsiaTheme="minorEastAsia"/>
          <w:lang w:eastAsia="zh-CN"/>
        </w:rPr>
      </w:pPr>
      <m:oMath>
        <m:r>
          <w:rPr>
            <w:rFonts w:ascii="Cambria Math" w:eastAsiaTheme="minorEastAsia" w:hAnsi="Cambria Math"/>
            <w:lang w:eastAsia="zh-CN"/>
          </w:rPr>
          <m:t>K:</m:t>
        </m:r>
      </m:oMath>
      <w:r w:rsidR="006B31DB" w:rsidRPr="00E03861">
        <w:rPr>
          <w:rFonts w:eastAsiaTheme="minorEastAsia"/>
          <w:b/>
          <w:lang w:eastAsia="zh-CN"/>
        </w:rPr>
        <w:t xml:space="preserve"> </w:t>
      </w:r>
      <w:r w:rsidR="006B31DB" w:rsidRPr="00E03861">
        <w:rPr>
          <w:rFonts w:eastAsiaTheme="minorEastAsia"/>
          <w:lang w:eastAsia="zh-CN"/>
        </w:rPr>
        <w:t>rigidité thermique</w:t>
      </w:r>
    </w:p>
    <w:p w14:paraId="589CCD1D" w14:textId="087C97AF" w:rsidR="006B31DB" w:rsidRPr="00E03861" w:rsidRDefault="006B31DB" w:rsidP="00EF1C4F">
      <w:pPr>
        <w:spacing w:line="360" w:lineRule="auto"/>
        <w:rPr>
          <w:rFonts w:eastAsiaTheme="minorEastAsia"/>
          <w:lang w:eastAsia="zh-CN"/>
        </w:rPr>
      </w:pPr>
      <m:oMath>
        <m:r>
          <w:rPr>
            <w:rFonts w:ascii="Cambria Math" w:eastAsiaTheme="minorEastAsia" w:hAnsi="Cambria Math"/>
            <w:lang w:eastAsia="zh-CN"/>
          </w:rPr>
          <m:t>τ</m:t>
        </m:r>
        <m:r>
          <m:rPr>
            <m:sty m:val="bi"/>
          </m:rPr>
          <w:rPr>
            <w:rFonts w:ascii="Cambria Math" w:eastAsiaTheme="minorEastAsia" w:hAnsi="Cambria Math"/>
            <w:lang w:eastAsia="zh-CN"/>
          </w:rPr>
          <m:t>:</m:t>
        </m:r>
      </m:oMath>
      <w:r w:rsidRPr="00E03861">
        <w:rPr>
          <w:rFonts w:eastAsiaTheme="minorEastAsia"/>
          <w:b/>
          <w:lang w:eastAsia="zh-CN"/>
        </w:rPr>
        <w:t xml:space="preserve"> </w:t>
      </w:r>
      <w:r w:rsidRPr="00E03861">
        <w:rPr>
          <w:rFonts w:eastAsiaTheme="minorEastAsia"/>
          <w:lang w:eastAsia="zh-CN"/>
        </w:rPr>
        <w:t xml:space="preserve">constante de temps thermique </w:t>
      </w:r>
      <m:oMath>
        <m:r>
          <w:rPr>
            <w:rFonts w:ascii="Cambria Math" w:eastAsiaTheme="minorEastAsia" w:hAnsi="Cambria Math"/>
            <w:lang w:eastAsia="zh-CN"/>
          </w:rPr>
          <m:t xml:space="preserve">τ=D/K </m:t>
        </m:r>
      </m:oMath>
    </w:p>
    <w:p w14:paraId="427A6B55" w14:textId="7DB7659A" w:rsidR="00240C33" w:rsidRDefault="00240C33" w:rsidP="00EF1C4F">
      <w:pPr>
        <w:spacing w:line="360" w:lineRule="auto"/>
        <w:rPr>
          <w:rFonts w:eastAsiaTheme="minorEastAsia"/>
          <w:lang w:eastAsia="zh-CN"/>
        </w:rPr>
      </w:pPr>
      <w:r>
        <w:rPr>
          <w:rFonts w:eastAsiaTheme="minorEastAsia"/>
          <w:lang w:eastAsia="zh-CN"/>
        </w:rPr>
        <w:t xml:space="preserve">Si l’état thermique du rotor est stable et convergé dans le temps, la solution de </w:t>
      </w:r>
      <w:r>
        <w:rPr>
          <w:rFonts w:eastAsiaTheme="minorEastAsia"/>
          <w:lang w:eastAsia="zh-CN"/>
        </w:rPr>
        <w:fldChar w:fldCharType="begin"/>
      </w:r>
      <w:r>
        <w:rPr>
          <w:rFonts w:eastAsiaTheme="minorEastAsia"/>
          <w:lang w:eastAsia="zh-CN"/>
        </w:rPr>
        <w:instrText xml:space="preserve"> REF _Ref530059670 \r \h </w:instrText>
      </w:r>
      <w:r w:rsidR="00EF1C4F">
        <w:rPr>
          <w:rFonts w:eastAsiaTheme="minorEastAsia"/>
          <w:lang w:eastAsia="zh-CN"/>
        </w:rPr>
        <w:instrText xml:space="preserve"> \* MERGEFORMAT </w:instrText>
      </w:r>
      <w:r>
        <w:rPr>
          <w:rFonts w:eastAsiaTheme="minorEastAsia"/>
          <w:lang w:eastAsia="zh-CN"/>
        </w:rPr>
      </w:r>
      <w:r>
        <w:rPr>
          <w:rFonts w:eastAsiaTheme="minorEastAsia"/>
          <w:lang w:eastAsia="zh-CN"/>
        </w:rPr>
        <w:fldChar w:fldCharType="separate"/>
      </w:r>
      <w:r w:rsidR="00EC1134">
        <w:rPr>
          <w:rFonts w:eastAsiaTheme="minorEastAsia"/>
          <w:lang w:eastAsia="zh-CN"/>
        </w:rPr>
        <w:t>Eq.4</w:t>
      </w:r>
      <w:r>
        <w:rPr>
          <w:rFonts w:eastAsiaTheme="minorEastAsia"/>
          <w:lang w:eastAsia="zh-CN"/>
        </w:rPr>
        <w:fldChar w:fldCharType="end"/>
      </w:r>
      <w:r>
        <w:rPr>
          <w:rFonts w:eastAsiaTheme="minorEastAsia"/>
          <w:lang w:eastAsia="zh-CN"/>
        </w:rPr>
        <w:t xml:space="preserve"> existe quand le </w:t>
      </w:r>
      <m:oMath>
        <m:r>
          <w:rPr>
            <w:rFonts w:ascii="Cambria Math" w:eastAsiaTheme="minorEastAsia" w:hAnsi="Cambria Math"/>
            <w:lang w:eastAsia="zh-CN"/>
          </w:rPr>
          <m:t xml:space="preserve">t </m:t>
        </m:r>
      </m:oMath>
      <w:r>
        <w:rPr>
          <w:rFonts w:eastAsiaTheme="minorEastAsia"/>
          <w:lang w:eastAsia="zh-CN"/>
        </w:rPr>
        <w:t xml:space="preserve">tends vers </w:t>
      </w:r>
      <m:oMath>
        <m:r>
          <w:rPr>
            <w:rFonts w:ascii="Cambria Math" w:eastAsiaTheme="minorEastAsia" w:hAnsi="Cambria Math"/>
            <w:lang w:eastAsia="zh-CN"/>
          </w:rPr>
          <m:t>+</m:t>
        </m:r>
        <m:r>
          <w:rPr>
            <w:rFonts w:ascii="Cambria Math" w:hAnsi="Cambria Math"/>
          </w:rPr>
          <m:t>∞</m:t>
        </m:r>
        <m:r>
          <w:rPr>
            <w:rFonts w:ascii="Cambria Math" w:eastAsiaTheme="minorEastAsia" w:hAnsi="Cambria Math"/>
          </w:rPr>
          <m:t xml:space="preserve"> </m:t>
        </m:r>
      </m:oMath>
      <w:r>
        <w:rPr>
          <w:rFonts w:eastAsiaTheme="minorEastAsia"/>
        </w:rPr>
        <w:t xml:space="preserve">. </w:t>
      </w:r>
      <w:r w:rsidR="00AD614C">
        <w:rPr>
          <w:rFonts w:eastAsiaTheme="minorEastAsia"/>
        </w:rPr>
        <w:t>U</w:t>
      </w:r>
      <w:r>
        <w:rPr>
          <w:rFonts w:eastAsiaTheme="minorEastAsia"/>
        </w:rPr>
        <w:t>n critère de stabilité</w:t>
      </w:r>
      <w:r w:rsidR="00AD614C">
        <w:rPr>
          <w:rFonts w:eastAsiaTheme="minorEastAsia"/>
        </w:rPr>
        <w:t xml:space="preserve"> peut être établi</w:t>
      </w:r>
      <w:r>
        <w:rPr>
          <w:rFonts w:eastAsiaTheme="minorEastAsia"/>
        </w:rPr>
        <w:t xml:space="preserve"> à partir de cette hypothèse. En remplaçant le vecteur </w:t>
      </w:r>
      <m:oMath>
        <m:sSub>
          <m:sSubPr>
            <m:ctrlPr>
              <w:rPr>
                <w:rFonts w:ascii="Cambria Math" w:eastAsiaTheme="minorEastAsia" w:hAnsi="Cambria Math"/>
                <w:b/>
                <w:i/>
                <w:lang w:eastAsia="zh-CN"/>
              </w:rPr>
            </m:ctrlPr>
          </m:sSubPr>
          <m:e>
            <m:r>
              <m:rPr>
                <m:sty m:val="bi"/>
              </m:rPr>
              <w:rPr>
                <w:rFonts w:ascii="Cambria Math" w:eastAsiaTheme="minorEastAsia" w:hAnsi="Cambria Math"/>
                <w:lang w:eastAsia="zh-CN"/>
              </w:rPr>
              <m:t>T</m:t>
            </m:r>
          </m:e>
          <m:sub>
            <m:r>
              <m:rPr>
                <m:sty m:val="bi"/>
              </m:rPr>
              <w:rPr>
                <w:rFonts w:ascii="Cambria Math" w:eastAsiaTheme="minorEastAsia" w:hAnsi="Cambria Math"/>
                <w:lang w:eastAsia="zh-CN"/>
              </w:rPr>
              <m:t>ss</m:t>
            </m:r>
          </m:sub>
        </m:sSub>
      </m:oMath>
      <w:r>
        <w:rPr>
          <w:rFonts w:eastAsiaTheme="minorEastAsia"/>
          <w:b/>
          <w:lang w:eastAsia="zh-CN"/>
        </w:rPr>
        <w:t xml:space="preserve"> </w:t>
      </w:r>
      <w:r w:rsidRPr="001A23AB">
        <w:rPr>
          <w:rFonts w:eastAsiaTheme="minorEastAsia"/>
          <w:lang w:eastAsia="zh-CN"/>
        </w:rPr>
        <w:t xml:space="preserve">dans </w:t>
      </w:r>
      <w:r w:rsidR="00706342">
        <w:rPr>
          <w:rFonts w:eastAsiaTheme="minorEastAsia"/>
          <w:lang w:eastAsia="zh-CN"/>
        </w:rPr>
        <w:fldChar w:fldCharType="begin"/>
      </w:r>
      <w:r w:rsidR="00706342">
        <w:rPr>
          <w:rFonts w:eastAsiaTheme="minorEastAsia"/>
          <w:lang w:eastAsia="zh-CN"/>
        </w:rPr>
        <w:instrText xml:space="preserve"> REF _Ref530059670 \r \h </w:instrText>
      </w:r>
      <w:r w:rsidR="00EF1C4F">
        <w:rPr>
          <w:rFonts w:eastAsiaTheme="minorEastAsia"/>
          <w:lang w:eastAsia="zh-CN"/>
        </w:rPr>
        <w:instrText xml:space="preserve"> \* MERGEFORMAT </w:instrText>
      </w:r>
      <w:r w:rsidR="00706342">
        <w:rPr>
          <w:rFonts w:eastAsiaTheme="minorEastAsia"/>
          <w:lang w:eastAsia="zh-CN"/>
        </w:rPr>
      </w:r>
      <w:r w:rsidR="00706342">
        <w:rPr>
          <w:rFonts w:eastAsiaTheme="minorEastAsia"/>
          <w:lang w:eastAsia="zh-CN"/>
        </w:rPr>
        <w:fldChar w:fldCharType="separate"/>
      </w:r>
      <w:r w:rsidR="00EC1134">
        <w:rPr>
          <w:rFonts w:eastAsiaTheme="minorEastAsia"/>
          <w:lang w:eastAsia="zh-CN"/>
        </w:rPr>
        <w:t>Eq.4</w:t>
      </w:r>
      <w:r w:rsidR="00706342">
        <w:rPr>
          <w:rFonts w:eastAsiaTheme="minorEastAsia"/>
          <w:lang w:eastAsia="zh-CN"/>
        </w:rPr>
        <w:fldChar w:fldCharType="end"/>
      </w:r>
      <w:r>
        <w:rPr>
          <w:rFonts w:eastAsiaTheme="minorEastAsia"/>
          <w:lang w:eastAsia="zh-CN"/>
        </w:rPr>
        <w:t xml:space="preserve"> par les matrices</w:t>
      </w:r>
      <w:r w:rsidR="00706342">
        <w:rPr>
          <w:rFonts w:eastAsiaTheme="minorEastAsia"/>
          <w:lang w:eastAsia="zh-CN"/>
        </w:rPr>
        <w:t xml:space="preserve"> d’influence de l’effet Morton</w:t>
      </w:r>
      <m:oMath>
        <m:r>
          <w:rPr>
            <w:rFonts w:ascii="Cambria Math" w:eastAsiaTheme="minorEastAsia" w:hAnsi="Cambria Math"/>
            <w:lang w:eastAsia="zh-CN"/>
          </w:rPr>
          <m:t xml:space="preserve"> </m:t>
        </m:r>
        <m:r>
          <m:rPr>
            <m:sty m:val="bi"/>
          </m:rPr>
          <w:rPr>
            <w:rFonts w:ascii="Cambria Math" w:eastAsiaTheme="minorEastAsia" w:hAnsi="Cambria Math"/>
            <w:lang w:eastAsia="zh-CN"/>
          </w:rPr>
          <m:t>A,B,C</m:t>
        </m:r>
      </m:oMath>
      <w:r w:rsidRPr="0080427D">
        <w:rPr>
          <w:rFonts w:eastAsiaTheme="minorEastAsia"/>
          <w:lang w:eastAsia="zh-CN"/>
        </w:rPr>
        <w:t xml:space="preserve">, </w:t>
      </w:r>
      <w:r>
        <w:rPr>
          <w:rFonts w:eastAsiaTheme="minorEastAsia"/>
          <w:lang w:eastAsia="zh-CN"/>
        </w:rPr>
        <w:t>on obtient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025562" w:rsidRPr="00E03861" w14:paraId="057190A1" w14:textId="77777777" w:rsidTr="00F47724">
        <w:trPr>
          <w:trHeight w:val="635"/>
          <w:tblHeader/>
          <w:jc w:val="center"/>
        </w:trPr>
        <w:tc>
          <w:tcPr>
            <w:tcW w:w="7943" w:type="dxa"/>
            <w:vAlign w:val="center"/>
          </w:tcPr>
          <w:p w14:paraId="0D647415" w14:textId="77777777" w:rsidR="00025562" w:rsidRPr="00E03861" w:rsidRDefault="008E61D2" w:rsidP="00EF1C4F">
            <w:pPr>
              <w:spacing w:after="160" w:line="360" w:lineRule="auto"/>
              <w:rPr>
                <w:rFonts w:asciiTheme="minorHAnsi" w:eastAsiaTheme="minorEastAsia" w:hAnsiTheme="minorHAnsi"/>
                <w:lang w:eastAsia="zh-CN"/>
              </w:rPr>
            </w:pPr>
            <m:oMathPara>
              <m:oMath>
                <m:acc>
                  <m:accPr>
                    <m:chr m:val="̇"/>
                    <m:ctrlPr>
                      <w:rPr>
                        <w:rFonts w:ascii="Cambria Math" w:eastAsiaTheme="minorEastAsia" w:hAnsi="Cambria Math"/>
                        <w:b/>
                        <w:i/>
                        <w:lang w:eastAsia="zh-CN"/>
                      </w:rPr>
                    </m:ctrlPr>
                  </m:accPr>
                  <m:e>
                    <m:r>
                      <m:rPr>
                        <m:sty m:val="bi"/>
                      </m:rPr>
                      <w:rPr>
                        <w:rFonts w:ascii="Cambria Math" w:eastAsiaTheme="minorEastAsia" w:hAnsi="Cambria Math"/>
                        <w:lang w:eastAsia="zh-CN"/>
                      </w:rPr>
                      <m:t>T</m:t>
                    </m:r>
                  </m:e>
                </m:acc>
                <m:d>
                  <m:dPr>
                    <m:ctrlPr>
                      <w:rPr>
                        <w:rFonts w:ascii="Cambria Math" w:eastAsiaTheme="minorEastAsia" w:hAnsi="Cambria Math"/>
                        <w:b/>
                        <w:i/>
                        <w:lang w:eastAsia="zh-CN"/>
                      </w:rPr>
                    </m:ctrlPr>
                  </m:dPr>
                  <m:e>
                    <m:r>
                      <m:rPr>
                        <m:sty m:val="bi"/>
                      </m:rPr>
                      <w:rPr>
                        <w:rFonts w:ascii="Cambria Math" w:eastAsiaTheme="minorEastAsia" w:hAnsi="Cambria Math"/>
                        <w:lang w:eastAsia="zh-CN"/>
                      </w:rPr>
                      <m:t>t</m:t>
                    </m:r>
                  </m:e>
                </m:d>
                <m:r>
                  <m:rPr>
                    <m:sty m:val="bi"/>
                  </m:rPr>
                  <w:rPr>
                    <w:rFonts w:ascii="Cambria Math" w:eastAsiaTheme="minorEastAsia" w:hAnsi="Cambria Math"/>
                    <w:lang w:eastAsia="zh-CN"/>
                  </w:rPr>
                  <m:t>+</m:t>
                </m:r>
                <m:f>
                  <m:fPr>
                    <m:ctrlPr>
                      <w:rPr>
                        <w:rFonts w:ascii="Cambria Math" w:eastAsiaTheme="minorEastAsia" w:hAnsi="Cambria Math"/>
                        <w:b/>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τ</m:t>
                    </m:r>
                  </m:den>
                </m:f>
                <m:d>
                  <m:dPr>
                    <m:ctrlPr>
                      <w:rPr>
                        <w:rFonts w:ascii="Cambria Math" w:eastAsiaTheme="minorEastAsia" w:hAnsi="Cambria Math"/>
                        <w:b/>
                        <w:i/>
                        <w:lang w:eastAsia="zh-CN"/>
                      </w:rPr>
                    </m:ctrlPr>
                  </m:dPr>
                  <m:e>
                    <m:r>
                      <m:rPr>
                        <m:sty m:val="bi"/>
                      </m:rPr>
                      <w:rPr>
                        <w:rFonts w:ascii="Cambria Math" w:eastAsiaTheme="minorEastAsia" w:hAnsi="Cambria Math"/>
                        <w:lang w:eastAsia="zh-CN"/>
                      </w:rPr>
                      <m:t>I</m:t>
                    </m:r>
                    <m:r>
                      <w:rPr>
                        <w:rFonts w:ascii="Cambria Math" w:eastAsiaTheme="minorEastAsia" w:hAnsi="Cambria Math"/>
                        <w:lang w:eastAsia="zh-CN"/>
                      </w:rPr>
                      <m:t>-</m:t>
                    </m:r>
                    <m:r>
                      <m:rPr>
                        <m:sty m:val="bi"/>
                      </m:rPr>
                      <w:rPr>
                        <w:rFonts w:ascii="Cambria Math" w:eastAsiaTheme="minorEastAsia" w:hAnsi="Cambria Math"/>
                        <w:lang w:eastAsia="zh-CN"/>
                      </w:rPr>
                      <m:t>BAC</m:t>
                    </m:r>
                  </m:e>
                </m:d>
                <m:r>
                  <m:rPr>
                    <m:sty m:val="bi"/>
                  </m:rPr>
                  <w:rPr>
                    <w:rFonts w:ascii="Cambria Math" w:eastAsiaTheme="minorEastAsia" w:hAnsi="Cambria Math"/>
                    <w:lang w:eastAsia="zh-CN"/>
                  </w:rPr>
                  <m:t>T</m:t>
                </m:r>
                <m:d>
                  <m:dPr>
                    <m:ctrlPr>
                      <w:rPr>
                        <w:rFonts w:ascii="Cambria Math" w:eastAsiaTheme="minorEastAsia" w:hAnsi="Cambria Math"/>
                        <w:b/>
                        <w:i/>
                        <w:lang w:eastAsia="zh-CN"/>
                      </w:rPr>
                    </m:ctrlPr>
                  </m:dPr>
                  <m:e>
                    <m:r>
                      <m:rPr>
                        <m:sty m:val="bi"/>
                      </m:rPr>
                      <w:rPr>
                        <w:rFonts w:ascii="Cambria Math" w:eastAsiaTheme="minorEastAsia" w:hAnsi="Cambria Math"/>
                        <w:lang w:eastAsia="zh-CN"/>
                      </w:rPr>
                      <m:t>t</m:t>
                    </m:r>
                  </m:e>
                </m:d>
                <m:r>
                  <w:rPr>
                    <w:rFonts w:ascii="Cambria Math" w:eastAsiaTheme="minorEastAsia" w:hAnsi="Cambria Math"/>
                    <w:lang w:eastAsia="zh-CN"/>
                  </w:rPr>
                  <m:t>=</m:t>
                </m:r>
                <m:f>
                  <m:fPr>
                    <m:ctrlPr>
                      <w:rPr>
                        <w:rFonts w:ascii="Cambria Math" w:eastAsiaTheme="minorEastAsia" w:hAnsi="Cambria Math"/>
                        <w:b/>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τ</m:t>
                    </m:r>
                  </m:den>
                </m:f>
                <m:r>
                  <m:rPr>
                    <m:sty m:val="bi"/>
                  </m:rPr>
                  <w:rPr>
                    <w:rFonts w:ascii="Cambria Math" w:eastAsiaTheme="minorEastAsia" w:hAnsi="Cambria Math"/>
                    <w:lang w:eastAsia="zh-CN"/>
                  </w:rPr>
                  <m:t>BA</m:t>
                </m:r>
                <m:sSub>
                  <m:sSubPr>
                    <m:ctrlPr>
                      <w:rPr>
                        <w:rFonts w:ascii="Cambria Math" w:eastAsiaTheme="minorEastAsia" w:hAnsi="Cambria Math"/>
                        <w:b/>
                        <w:i/>
                        <w:lang w:eastAsia="zh-CN"/>
                      </w:rPr>
                    </m:ctrlPr>
                  </m:sSubPr>
                  <m:e>
                    <m:r>
                      <m:rPr>
                        <m:sty m:val="bi"/>
                      </m:rPr>
                      <w:rPr>
                        <w:rFonts w:ascii="Cambria Math" w:eastAsiaTheme="minorEastAsia" w:hAnsi="Cambria Math"/>
                        <w:lang w:eastAsia="zh-CN"/>
                      </w:rPr>
                      <m:t>U</m:t>
                    </m:r>
                  </m:e>
                  <m:sub>
                    <m:r>
                      <m:rPr>
                        <m:sty m:val="bi"/>
                      </m:rPr>
                      <w:rPr>
                        <w:rFonts w:ascii="Cambria Math" w:eastAsiaTheme="minorEastAsia" w:hAnsi="Cambria Math"/>
                        <w:lang w:eastAsia="zh-CN"/>
                      </w:rPr>
                      <m:t>0</m:t>
                    </m:r>
                  </m:sub>
                </m:sSub>
              </m:oMath>
            </m:oMathPara>
          </w:p>
        </w:tc>
        <w:tc>
          <w:tcPr>
            <w:tcW w:w="1096" w:type="dxa"/>
            <w:vAlign w:val="center"/>
          </w:tcPr>
          <w:p w14:paraId="61C609C4" w14:textId="77777777" w:rsidR="00025562" w:rsidRPr="00E03861" w:rsidRDefault="00025562" w:rsidP="00EF1C4F">
            <w:pPr>
              <w:numPr>
                <w:ilvl w:val="0"/>
                <w:numId w:val="7"/>
              </w:numPr>
              <w:overflowPunct/>
              <w:autoSpaceDE/>
              <w:autoSpaceDN/>
              <w:adjustRightInd/>
              <w:spacing w:before="120" w:after="120" w:line="360" w:lineRule="auto"/>
              <w:jc w:val="left"/>
              <w:textAlignment w:val="auto"/>
              <w:rPr>
                <w:rFonts w:ascii="Times New Roman" w:eastAsiaTheme="minorEastAsia" w:hAnsi="Times New Roman"/>
                <w:b/>
                <w:i/>
              </w:rPr>
            </w:pPr>
            <w:bookmarkStart w:id="3" w:name="_Ref530060431"/>
            <w:r w:rsidRPr="00E03861">
              <w:rPr>
                <w:rFonts w:ascii="Times New Roman" w:eastAsiaTheme="minorEastAsia" w:hAnsi="Times New Roman"/>
                <w:b/>
                <w:i/>
              </w:rPr>
              <w:t xml:space="preserve"> </w:t>
            </w:r>
            <w:bookmarkEnd w:id="3"/>
          </w:p>
        </w:tc>
      </w:tr>
    </w:tbl>
    <w:p w14:paraId="4E511D80" w14:textId="74160A66" w:rsidR="00777D08" w:rsidRDefault="00025562" w:rsidP="00EF1C4F">
      <w:pPr>
        <w:spacing w:line="360" w:lineRule="auto"/>
        <w:rPr>
          <w:rFonts w:eastAsiaTheme="minorEastAsia"/>
        </w:rPr>
      </w:pPr>
      <w:r w:rsidRPr="00DD4564">
        <w:rPr>
          <w:rFonts w:eastAsiaTheme="minorEastAsia"/>
        </w:rPr>
        <w:t xml:space="preserve">Cette équation </w:t>
      </w:r>
      <w:r>
        <w:rPr>
          <w:rFonts w:eastAsiaTheme="minorEastAsia"/>
        </w:rPr>
        <w:t>est</w:t>
      </w:r>
      <w:r w:rsidRPr="00DD4564">
        <w:rPr>
          <w:rFonts w:eastAsiaTheme="minorEastAsia"/>
        </w:rPr>
        <w:t xml:space="preserve"> une équation </w:t>
      </w:r>
      <w:r w:rsidR="00EC1134">
        <w:rPr>
          <w:rFonts w:eastAsiaTheme="minorEastAsia"/>
        </w:rPr>
        <w:t>différentielle du</w:t>
      </w:r>
      <w:r>
        <w:rPr>
          <w:rFonts w:eastAsiaTheme="minorEastAsia"/>
        </w:rPr>
        <w:t xml:space="preserve"> premier ordre, inhomogène et</w:t>
      </w:r>
      <w:r w:rsidRPr="00DD4564">
        <w:rPr>
          <w:rFonts w:eastAsiaTheme="minorEastAsia"/>
        </w:rPr>
        <w:t xml:space="preserve"> avec des coefficients constants</w:t>
      </w:r>
      <w:r w:rsidR="003A6DC0">
        <w:rPr>
          <w:rFonts w:eastAsiaTheme="minorEastAsia"/>
        </w:rPr>
        <w:t xml:space="preserve">. La solution générale de son </w:t>
      </w:r>
      <w:r>
        <w:rPr>
          <w:rFonts w:eastAsiaTheme="minorEastAsia"/>
        </w:rPr>
        <w:t xml:space="preserve">équation homogène est sous </w:t>
      </w:r>
      <w:r w:rsidR="006C2D35">
        <w:rPr>
          <w:rFonts w:eastAsiaTheme="minorEastAsia"/>
        </w:rPr>
        <w:t>forme</w:t>
      </w:r>
      <m:oMath>
        <m:r>
          <w:rPr>
            <w:rFonts w:ascii="Cambria Math" w:eastAsiaTheme="minorEastAsia" w:hAnsi="Cambria Math"/>
          </w:rPr>
          <m:t xml:space="preserve"> </m:t>
        </m:r>
        <m:r>
          <m:rPr>
            <m:sty m:val="bi"/>
          </m:rPr>
          <w:rPr>
            <w:rFonts w:ascii="Cambria Math" w:eastAsiaTheme="minorEastAsia" w:hAnsi="Cambria Math"/>
            <w:lang w:eastAsia="zh-CN"/>
          </w:rPr>
          <m:t>T</m:t>
        </m:r>
        <m:d>
          <m:dPr>
            <m:ctrlPr>
              <w:rPr>
                <w:rFonts w:ascii="Cambria Math" w:eastAsiaTheme="minorEastAsia" w:hAnsi="Cambria Math"/>
                <w:b/>
                <w:i/>
                <w:lang w:eastAsia="zh-CN"/>
              </w:rPr>
            </m:ctrlPr>
          </m:dPr>
          <m:e>
            <m:r>
              <m:rPr>
                <m:sty m:val="bi"/>
              </m:rPr>
              <w:rPr>
                <w:rFonts w:ascii="Cambria Math" w:eastAsiaTheme="minorEastAsia" w:hAnsi="Cambria Math"/>
                <w:lang w:eastAsia="zh-CN"/>
              </w:rPr>
              <m:t>t</m:t>
            </m:r>
          </m:e>
        </m:d>
        <m:r>
          <m:rPr>
            <m:sty m:val="bi"/>
          </m:rPr>
          <w:rPr>
            <w:rFonts w:ascii="Cambria Math" w:eastAsiaTheme="minorEastAsia" w:hAnsi="Cambria Math"/>
            <w:lang w:eastAsia="zh-CN"/>
          </w:rPr>
          <m:t>=</m:t>
        </m:r>
        <m:acc>
          <m:accPr>
            <m:ctrlPr>
              <w:rPr>
                <w:rFonts w:ascii="Cambria Math" w:eastAsiaTheme="minorEastAsia" w:hAnsi="Cambria Math" w:cstheme="minorBidi"/>
                <w:b/>
                <w:i/>
                <w:lang w:eastAsia="zh-CN"/>
              </w:rPr>
            </m:ctrlPr>
          </m:accPr>
          <m:e>
            <m:r>
              <m:rPr>
                <m:sty m:val="bi"/>
              </m:rPr>
              <w:rPr>
                <w:rFonts w:ascii="Cambria Math" w:eastAsiaTheme="minorEastAsia" w:hAnsi="Cambria Math" w:cstheme="minorBidi"/>
                <w:lang w:eastAsia="zh-CN"/>
              </w:rPr>
              <m:t>T</m:t>
            </m:r>
          </m:e>
        </m:acc>
        <m:sSup>
          <m:sSupPr>
            <m:ctrlPr>
              <w:rPr>
                <w:rFonts w:ascii="Cambria Math" w:eastAsiaTheme="minorEastAsia" w:hAnsi="Cambria Math"/>
                <w:i/>
                <w:lang w:eastAsia="zh-CN"/>
              </w:rPr>
            </m:ctrlPr>
          </m:sSupPr>
          <m:e>
            <m:r>
              <w:rPr>
                <w:rFonts w:ascii="Cambria Math" w:eastAsiaTheme="minorEastAsia" w:hAnsi="Cambria Math"/>
                <w:lang w:eastAsia="zh-CN"/>
              </w:rPr>
              <m:t>e</m:t>
            </m:r>
          </m:e>
          <m:sup>
            <m:r>
              <w:rPr>
                <w:rFonts w:ascii="Cambria Math" w:eastAsiaTheme="minorEastAsia" w:hAnsi="Cambria Math"/>
                <w:lang w:eastAsia="zh-CN"/>
              </w:rPr>
              <m:t>st</m:t>
            </m:r>
          </m:sup>
        </m:sSup>
      </m:oMath>
      <w:r w:rsidR="00EC5EDE">
        <w:rPr>
          <w:rFonts w:eastAsiaTheme="minorEastAsia"/>
          <w:lang w:eastAsia="zh-CN"/>
        </w:rPr>
        <w:t xml:space="preserve"> </w:t>
      </w:r>
      <w:r w:rsidR="00BE0AFC">
        <w:rPr>
          <w:rFonts w:eastAsiaTheme="minorEastAsia"/>
          <w:lang w:eastAsia="zh-CN"/>
        </w:rPr>
        <w:t xml:space="preserve">avec ses </w:t>
      </w:r>
      <w:r w:rsidR="00BE0AFC" w:rsidRPr="00BE0AFC">
        <w:rPr>
          <w:rFonts w:eastAsiaTheme="minorEastAsia"/>
          <w:lang w:eastAsia="zh-CN"/>
        </w:rPr>
        <w:t>valeur</w:t>
      </w:r>
      <w:r w:rsidR="00BE0AFC">
        <w:rPr>
          <w:rFonts w:eastAsiaTheme="minorEastAsia"/>
          <w:lang w:eastAsia="zh-CN"/>
        </w:rPr>
        <w:t>s</w:t>
      </w:r>
      <w:r w:rsidR="00BE0AFC" w:rsidRPr="00BE0AFC">
        <w:rPr>
          <w:rFonts w:eastAsiaTheme="minorEastAsia"/>
          <w:lang w:eastAsia="zh-CN"/>
        </w:rPr>
        <w:t xml:space="preserve"> </w:t>
      </w:r>
      <w:r w:rsidR="00A6787B" w:rsidRPr="00BE0AFC">
        <w:rPr>
          <w:rFonts w:eastAsiaTheme="minorEastAsia"/>
          <w:lang w:eastAsia="zh-CN"/>
        </w:rPr>
        <w:t>propre</w:t>
      </w:r>
      <w:r w:rsidR="00A6787B">
        <w:rPr>
          <w:rFonts w:eastAsiaTheme="minorEastAsia"/>
          <w:lang w:eastAsia="zh-CN"/>
        </w:rPr>
        <w:t>s</w:t>
      </w:r>
      <m:oMath>
        <m:r>
          <w:rPr>
            <w:rFonts w:ascii="Cambria Math" w:eastAsiaTheme="minorEastAsia" w:hAnsi="Cambria Math"/>
            <w:lang w:eastAsia="zh-CN"/>
          </w:rPr>
          <m:t xml:space="preserve"> s</m:t>
        </m:r>
      </m:oMath>
      <w:r w:rsidR="006C2D35">
        <w:rPr>
          <w:rFonts w:eastAsiaTheme="minorEastAsia"/>
          <w:lang w:eastAsia="zh-CN"/>
        </w:rPr>
        <w:t xml:space="preserve">. </w:t>
      </w:r>
      <w:r w:rsidR="00617FF0">
        <w:rPr>
          <w:rFonts w:eastAsiaTheme="minorEastAsia"/>
          <w:lang w:eastAsia="zh-CN"/>
        </w:rPr>
        <w:t>Après l</w:t>
      </w:r>
      <w:r w:rsidR="00B067E6">
        <w:rPr>
          <w:rFonts w:eastAsiaTheme="minorEastAsia"/>
          <w:lang w:eastAsia="zh-CN"/>
        </w:rPr>
        <w:t>’</w:t>
      </w:r>
      <w:r w:rsidR="00777D08">
        <w:rPr>
          <w:rFonts w:eastAsiaTheme="minorEastAsia"/>
        </w:rPr>
        <w:t>inject</w:t>
      </w:r>
      <w:r w:rsidR="00617FF0">
        <w:rPr>
          <w:rFonts w:eastAsiaTheme="minorEastAsia"/>
        </w:rPr>
        <w:t xml:space="preserve">er </w:t>
      </w:r>
      <w:r w:rsidR="00777D08">
        <w:rPr>
          <w:rFonts w:eastAsiaTheme="minorEastAsia"/>
        </w:rPr>
        <w:t>dans l’équation homogène</w:t>
      </w:r>
      <w:r w:rsidR="00EC5EDE">
        <w:rPr>
          <w:rFonts w:eastAsiaTheme="minorEastAsia"/>
        </w:rPr>
        <w:t xml:space="preserve"> de</w:t>
      </w:r>
      <w:r w:rsidR="00777D08">
        <w:rPr>
          <w:rFonts w:eastAsiaTheme="minorEastAsia"/>
        </w:rPr>
        <w:t xml:space="preserve"> </w:t>
      </w:r>
      <w:r w:rsidR="00777D08">
        <w:rPr>
          <w:rFonts w:eastAsiaTheme="minorEastAsia"/>
        </w:rPr>
        <w:fldChar w:fldCharType="begin"/>
      </w:r>
      <w:r w:rsidR="00777D08">
        <w:rPr>
          <w:rFonts w:eastAsiaTheme="minorEastAsia"/>
        </w:rPr>
        <w:instrText xml:space="preserve"> REF _Ref530060431 \r \h </w:instrText>
      </w:r>
      <w:r w:rsidR="00EF1C4F">
        <w:rPr>
          <w:rFonts w:eastAsiaTheme="minorEastAsia"/>
        </w:rPr>
        <w:instrText xml:space="preserve"> \* MERGEFORMAT </w:instrText>
      </w:r>
      <w:r w:rsidR="00777D08">
        <w:rPr>
          <w:rFonts w:eastAsiaTheme="minorEastAsia"/>
        </w:rPr>
      </w:r>
      <w:r w:rsidR="00777D08">
        <w:rPr>
          <w:rFonts w:eastAsiaTheme="minorEastAsia"/>
        </w:rPr>
        <w:fldChar w:fldCharType="separate"/>
      </w:r>
      <w:r w:rsidR="00777D08">
        <w:rPr>
          <w:rFonts w:eastAsiaTheme="minorEastAsia"/>
        </w:rPr>
        <w:t>Eq.2</w:t>
      </w:r>
      <w:r w:rsidR="00777D08">
        <w:rPr>
          <w:rFonts w:eastAsiaTheme="minorEastAsia"/>
        </w:rPr>
        <w:fldChar w:fldCharType="end"/>
      </w:r>
      <w:r w:rsidR="00777D08">
        <w:rPr>
          <w:rFonts w:eastAsiaTheme="minorEastAsia"/>
        </w:rPr>
        <w:t xml:space="preserve"> </w:t>
      </w:r>
      <w:r w:rsidR="00EC5EDE">
        <w:rPr>
          <w:rFonts w:eastAsiaTheme="minorEastAsia"/>
        </w:rPr>
        <w:t>et</w:t>
      </w:r>
      <w:r w:rsidR="00777D08">
        <w:rPr>
          <w:rFonts w:eastAsiaTheme="minorEastAsia"/>
        </w:rPr>
        <w:t> </w:t>
      </w:r>
      <w:r w:rsidR="00617FF0">
        <w:rPr>
          <w:rFonts w:eastAsiaTheme="minorEastAsia"/>
        </w:rPr>
        <w:t>l</w:t>
      </w:r>
      <w:r w:rsidR="00BE0AFC">
        <w:rPr>
          <w:rFonts w:eastAsiaTheme="minorEastAsia"/>
        </w:rPr>
        <w:t>es</w:t>
      </w:r>
      <w:r w:rsidR="00617FF0">
        <w:rPr>
          <w:rFonts w:eastAsiaTheme="minorEastAsia"/>
        </w:rPr>
        <w:t xml:space="preserve"> valeurs propres </w:t>
      </w:r>
      <m:oMath>
        <m:r>
          <w:rPr>
            <w:rFonts w:ascii="Cambria Math" w:eastAsiaTheme="minorEastAsia" w:hAnsi="Cambria Math"/>
          </w:rPr>
          <m:t>s</m:t>
        </m:r>
      </m:oMath>
      <w:r w:rsidR="00617FF0">
        <w:rPr>
          <w:rFonts w:eastAsiaTheme="minorEastAsia"/>
        </w:rPr>
        <w:t xml:space="preserve"> sont obtenues</w:t>
      </w:r>
      <w:r w:rsidR="00777D08">
        <w:rPr>
          <w:rFonts w:eastAsiaTheme="minorEastAsia"/>
        </w:rPr>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777D08" w:rsidRPr="00E03861" w14:paraId="667360F9" w14:textId="77777777" w:rsidTr="00F47724">
        <w:trPr>
          <w:trHeight w:val="635"/>
          <w:tblHeader/>
          <w:jc w:val="center"/>
        </w:trPr>
        <w:tc>
          <w:tcPr>
            <w:tcW w:w="7943" w:type="dxa"/>
            <w:vAlign w:val="center"/>
          </w:tcPr>
          <w:p w14:paraId="61142674" w14:textId="781F0CCA" w:rsidR="00777D08" w:rsidRPr="00E03861" w:rsidRDefault="001A1FAF" w:rsidP="00EF1C4F">
            <w:pPr>
              <w:spacing w:after="160" w:line="360" w:lineRule="auto"/>
              <w:jc w:val="center"/>
              <w:rPr>
                <w:rFonts w:asciiTheme="minorHAnsi" w:eastAsiaTheme="minorEastAsia" w:hAnsiTheme="minorHAnsi"/>
                <w:lang w:eastAsia="zh-CN"/>
              </w:rPr>
            </w:pPr>
            <m:oMathPara>
              <m:oMath>
                <m:r>
                  <w:rPr>
                    <w:rFonts w:ascii="Cambria Math" w:eastAsiaTheme="minorEastAsia" w:hAnsi="Cambria Math"/>
                    <w:lang w:eastAsia="zh-CN"/>
                  </w:rPr>
                  <m:t>s</m:t>
                </m:r>
                <m:r>
                  <m:rPr>
                    <m:sty m:val="bi"/>
                  </m:rPr>
                  <w:rPr>
                    <w:rFonts w:ascii="Cambria Math" w:eastAsiaTheme="minorEastAsia" w:hAnsi="Cambria Math" w:cstheme="minorBidi"/>
                    <w:lang w:eastAsia="zh-CN"/>
                  </w:rPr>
                  <m:t>=</m:t>
                </m:r>
                <m:f>
                  <m:fPr>
                    <m:ctrlPr>
                      <w:rPr>
                        <w:rFonts w:ascii="Cambria Math" w:eastAsiaTheme="minorEastAsia" w:hAnsi="Cambria Math"/>
                        <w:b/>
                        <w:i/>
                        <w:lang w:eastAsia="zh-CN"/>
                      </w:rPr>
                    </m:ctrlPr>
                  </m:fPr>
                  <m:num>
                    <m:r>
                      <m:rPr>
                        <m:sty m:val="bi"/>
                      </m:rPr>
                      <w:rPr>
                        <w:rFonts w:ascii="Cambria Math" w:eastAsiaTheme="minorEastAsia" w:hAnsi="Cambria Math"/>
                        <w:lang w:eastAsia="zh-CN"/>
                      </w:rPr>
                      <m:t>BAC</m:t>
                    </m:r>
                    <m:r>
                      <w:rPr>
                        <w:rFonts w:ascii="Cambria Math" w:eastAsiaTheme="minorEastAsia" w:hAnsi="Cambria Math"/>
                        <w:lang w:eastAsia="zh-CN"/>
                      </w:rPr>
                      <m:t>-</m:t>
                    </m:r>
                    <m:r>
                      <m:rPr>
                        <m:sty m:val="bi"/>
                      </m:rPr>
                      <w:rPr>
                        <w:rFonts w:ascii="Cambria Math" w:eastAsiaTheme="minorEastAsia" w:hAnsi="Cambria Math"/>
                        <w:lang w:eastAsia="zh-CN"/>
                      </w:rPr>
                      <m:t>I</m:t>
                    </m:r>
                  </m:num>
                  <m:den>
                    <m:r>
                      <w:rPr>
                        <w:rFonts w:ascii="Cambria Math" w:eastAsiaTheme="minorEastAsia" w:hAnsi="Cambria Math"/>
                        <w:lang w:eastAsia="zh-CN"/>
                      </w:rPr>
                      <m:t>τ</m:t>
                    </m:r>
                  </m:den>
                </m:f>
              </m:oMath>
            </m:oMathPara>
          </w:p>
        </w:tc>
        <w:tc>
          <w:tcPr>
            <w:tcW w:w="1096" w:type="dxa"/>
            <w:vAlign w:val="center"/>
          </w:tcPr>
          <w:p w14:paraId="5D1414EB" w14:textId="77777777" w:rsidR="00777D08" w:rsidRPr="00E03861" w:rsidRDefault="00777D08" w:rsidP="00EF1C4F">
            <w:pPr>
              <w:numPr>
                <w:ilvl w:val="0"/>
                <w:numId w:val="7"/>
              </w:numPr>
              <w:overflowPunct/>
              <w:autoSpaceDE/>
              <w:autoSpaceDN/>
              <w:adjustRightInd/>
              <w:spacing w:before="120" w:after="120" w:line="360" w:lineRule="auto"/>
              <w:jc w:val="left"/>
              <w:textAlignment w:val="auto"/>
              <w:rPr>
                <w:rFonts w:ascii="Times New Roman" w:eastAsiaTheme="minorEastAsia" w:hAnsi="Times New Roman"/>
                <w:b/>
                <w:i/>
              </w:rPr>
            </w:pPr>
            <w:r w:rsidRPr="00E03861">
              <w:rPr>
                <w:rFonts w:ascii="Times New Roman" w:eastAsiaTheme="minorEastAsia" w:hAnsi="Times New Roman"/>
                <w:b/>
                <w:i/>
              </w:rPr>
              <w:t xml:space="preserve"> </w:t>
            </w:r>
          </w:p>
        </w:tc>
      </w:tr>
    </w:tbl>
    <w:p w14:paraId="6AF183C3" w14:textId="77777777" w:rsidR="002026DE" w:rsidRPr="00A7327B" w:rsidRDefault="002026DE" w:rsidP="00EF1C4F">
      <w:pPr>
        <w:spacing w:line="360" w:lineRule="auto"/>
        <w:rPr>
          <w:rFonts w:eastAsiaTheme="minorEastAsia"/>
          <w:lang w:eastAsia="zh-CN"/>
        </w:rPr>
      </w:pPr>
      <w:r w:rsidRPr="00A7327B">
        <w:rPr>
          <w:rFonts w:eastAsiaTheme="minorEastAsia"/>
          <w:lang w:eastAsia="zh-CN"/>
        </w:rPr>
        <w:t>Après calcul, ces valeurs propres sont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2026DE" w:rsidRPr="00E03861" w14:paraId="4217474A" w14:textId="77777777" w:rsidTr="00F47724">
        <w:trPr>
          <w:trHeight w:val="635"/>
          <w:tblHeader/>
          <w:jc w:val="center"/>
        </w:trPr>
        <w:tc>
          <w:tcPr>
            <w:tcW w:w="7943" w:type="dxa"/>
            <w:vAlign w:val="center"/>
          </w:tcPr>
          <w:p w14:paraId="565F99C2" w14:textId="7574AB4B" w:rsidR="002026DE" w:rsidRPr="00E03861" w:rsidRDefault="002026DE" w:rsidP="007934C0">
            <w:pPr>
              <w:spacing w:after="160" w:line="360" w:lineRule="auto"/>
              <w:jc w:val="center"/>
              <w:rPr>
                <w:rFonts w:asciiTheme="minorHAnsi" w:eastAsiaTheme="minorEastAsia" w:hAnsiTheme="minorHAnsi"/>
                <w:lang w:eastAsia="zh-CN"/>
              </w:rPr>
            </w:pPr>
            <m:oMathPara>
              <m:oMath>
                <m:r>
                  <w:rPr>
                    <w:rFonts w:ascii="Cambria Math" w:eastAsiaTheme="minorEastAsia" w:hAnsi="Cambria Math"/>
                    <w:lang w:eastAsia="zh-CN"/>
                  </w:rPr>
                  <m:t>s=</m:t>
                </m:r>
                <m:f>
                  <m:fPr>
                    <m:ctrlPr>
                      <w:rPr>
                        <w:rFonts w:ascii="Cambria Math" w:eastAsiaTheme="minorEastAsia" w:hAnsi="Cambria Math"/>
                        <w:i/>
                        <w:lang w:eastAsia="zh-CN"/>
                      </w:rPr>
                    </m:ctrlPr>
                  </m:fPr>
                  <m:num>
                    <m:d>
                      <m:dPr>
                        <m:ctrlPr>
                          <w:rPr>
                            <w:rFonts w:ascii="Cambria Math" w:eastAsiaTheme="minorEastAsia" w:hAnsi="Cambria Math"/>
                            <w:i/>
                            <w:lang w:eastAsia="zh-CN"/>
                          </w:rPr>
                        </m:ctrlPr>
                      </m:dPr>
                      <m:e>
                        <m:d>
                          <m:dPr>
                            <m:begChr m:val="|"/>
                            <m:endChr m:val="|"/>
                            <m:ctrlPr>
                              <w:rPr>
                                <w:rFonts w:ascii="Cambria Math" w:eastAsiaTheme="minorEastAsia" w:hAnsi="Cambria Math"/>
                                <w:i/>
                                <w:lang w:eastAsia="zh-CN"/>
                              </w:rPr>
                            </m:ctrlPr>
                          </m:dPr>
                          <m:e>
                            <m:r>
                              <w:rPr>
                                <w:rFonts w:ascii="Cambria Math" w:eastAsiaTheme="minorEastAsia" w:hAnsi="Cambria Math"/>
                                <w:lang w:eastAsia="zh-CN"/>
                              </w:rPr>
                              <m:t>BAC</m:t>
                            </m:r>
                          </m:e>
                        </m:d>
                        <m:r>
                          <w:rPr>
                            <w:rFonts w:ascii="Cambria Math" w:eastAsiaTheme="minorEastAsia" w:hAnsi="Cambria Math"/>
                            <w:lang w:eastAsia="zh-CN"/>
                          </w:rPr>
                          <m:t>cos</m:t>
                        </m:r>
                        <m:sSub>
                          <m:sSubPr>
                            <m:ctrlPr>
                              <w:rPr>
                                <w:rFonts w:ascii="Cambria Math" w:eastAsiaTheme="minorEastAsia" w:hAnsi="Cambria Math"/>
                                <w:i/>
                                <w:lang w:eastAsia="zh-CN"/>
                              </w:rPr>
                            </m:ctrlPr>
                          </m:sSubPr>
                          <m:e>
                            <m:r>
                              <w:rPr>
                                <w:rFonts w:ascii="Cambria Math" w:eastAsiaTheme="minorEastAsia" w:hAnsi="Cambria Math"/>
                                <w:lang w:eastAsia="zh-CN"/>
                              </w:rPr>
                              <m:t>∠</m:t>
                            </m:r>
                          </m:e>
                          <m:sub>
                            <m:r>
                              <w:rPr>
                                <w:rFonts w:ascii="Cambria Math" w:eastAsiaTheme="minorEastAsia" w:hAnsi="Cambria Math"/>
                                <w:lang w:eastAsia="zh-CN"/>
                              </w:rPr>
                              <m:t>BAC</m:t>
                            </m:r>
                          </m:sub>
                        </m:sSub>
                        <m:r>
                          <w:rPr>
                            <w:rFonts w:ascii="Cambria Math" w:eastAsiaTheme="minorEastAsia" w:hAnsi="Cambria Math"/>
                            <w:lang w:eastAsia="zh-CN"/>
                          </w:rPr>
                          <m:t>-1</m:t>
                        </m:r>
                      </m:e>
                    </m:d>
                    <m:r>
                      <w:rPr>
                        <w:rFonts w:ascii="Cambria Math" w:eastAsiaTheme="minorEastAsia" w:hAnsi="Cambria Math"/>
                        <w:lang w:eastAsia="zh-CN"/>
                      </w:rPr>
                      <m:t>±j</m:t>
                    </m:r>
                    <m:d>
                      <m:dPr>
                        <m:begChr m:val="|"/>
                        <m:endChr m:val="|"/>
                        <m:ctrlPr>
                          <w:rPr>
                            <w:rFonts w:ascii="Cambria Math" w:eastAsiaTheme="minorEastAsia" w:hAnsi="Cambria Math"/>
                            <w:i/>
                            <w:lang w:eastAsia="zh-CN"/>
                          </w:rPr>
                        </m:ctrlPr>
                      </m:dPr>
                      <m:e>
                        <m:r>
                          <w:rPr>
                            <w:rFonts w:ascii="Cambria Math" w:eastAsiaTheme="minorEastAsia" w:hAnsi="Cambria Math"/>
                            <w:lang w:eastAsia="zh-CN"/>
                          </w:rPr>
                          <m:t>BAC</m:t>
                        </m:r>
                      </m:e>
                    </m:d>
                    <m:r>
                      <w:rPr>
                        <w:rFonts w:ascii="Cambria Math" w:eastAsiaTheme="minorEastAsia" w:hAnsi="Cambria Math"/>
                        <w:lang w:eastAsia="zh-CN"/>
                      </w:rPr>
                      <m:t>sin</m:t>
                    </m:r>
                    <m:sSub>
                      <m:sSubPr>
                        <m:ctrlPr>
                          <w:rPr>
                            <w:rFonts w:ascii="Cambria Math" w:eastAsiaTheme="minorEastAsia" w:hAnsi="Cambria Math"/>
                            <w:i/>
                            <w:lang w:eastAsia="zh-CN"/>
                          </w:rPr>
                        </m:ctrlPr>
                      </m:sSubPr>
                      <m:e>
                        <m:r>
                          <w:rPr>
                            <w:rFonts w:ascii="Cambria Math" w:eastAsiaTheme="minorEastAsia" w:hAnsi="Cambria Math"/>
                            <w:lang w:eastAsia="zh-CN"/>
                          </w:rPr>
                          <m:t>∠</m:t>
                        </m:r>
                      </m:e>
                      <m:sub>
                        <m:r>
                          <w:rPr>
                            <w:rFonts w:ascii="Cambria Math" w:eastAsiaTheme="minorEastAsia" w:hAnsi="Cambria Math"/>
                            <w:lang w:eastAsia="zh-CN"/>
                          </w:rPr>
                          <m:t>BAC</m:t>
                        </m:r>
                      </m:sub>
                    </m:sSub>
                  </m:num>
                  <m:den>
                    <m:r>
                      <w:rPr>
                        <w:rFonts w:ascii="Cambria Math" w:eastAsiaTheme="minorEastAsia" w:hAnsi="Cambria Math"/>
                        <w:lang w:eastAsia="zh-CN"/>
                      </w:rPr>
                      <m:t>τ</m:t>
                    </m:r>
                  </m:den>
                </m:f>
              </m:oMath>
            </m:oMathPara>
          </w:p>
        </w:tc>
        <w:tc>
          <w:tcPr>
            <w:tcW w:w="1096" w:type="dxa"/>
            <w:vAlign w:val="center"/>
          </w:tcPr>
          <w:p w14:paraId="2C9A9A1E" w14:textId="77777777" w:rsidR="002026DE" w:rsidRPr="00E03861" w:rsidRDefault="002026DE" w:rsidP="00EF1C4F">
            <w:pPr>
              <w:numPr>
                <w:ilvl w:val="0"/>
                <w:numId w:val="7"/>
              </w:numPr>
              <w:overflowPunct/>
              <w:autoSpaceDE/>
              <w:autoSpaceDN/>
              <w:adjustRightInd/>
              <w:spacing w:before="120" w:after="120" w:line="360" w:lineRule="auto"/>
              <w:jc w:val="left"/>
              <w:textAlignment w:val="auto"/>
              <w:rPr>
                <w:rFonts w:ascii="Times New Roman" w:eastAsiaTheme="minorEastAsia" w:hAnsi="Times New Roman"/>
                <w:b/>
                <w:i/>
              </w:rPr>
            </w:pPr>
            <w:r w:rsidRPr="00E03861">
              <w:rPr>
                <w:rFonts w:ascii="Times New Roman" w:eastAsiaTheme="minorEastAsia" w:hAnsi="Times New Roman"/>
                <w:b/>
                <w:i/>
              </w:rPr>
              <w:t xml:space="preserve"> </w:t>
            </w:r>
          </w:p>
        </w:tc>
      </w:tr>
    </w:tbl>
    <w:p w14:paraId="7B6A3764" w14:textId="15C4E00E" w:rsidR="00025562" w:rsidRDefault="00030DED" w:rsidP="00EF1C4F">
      <w:pPr>
        <w:spacing w:line="360" w:lineRule="auto"/>
        <w:rPr>
          <w:rFonts w:eastAsiaTheme="minorEastAsia"/>
        </w:rPr>
      </w:pPr>
      <w:r>
        <w:rPr>
          <w:rFonts w:eastAsiaTheme="minorEastAsia"/>
        </w:rPr>
        <w:t xml:space="preserve">D’un point de vue physique, le constant du temps </w:t>
      </w:r>
      <m:oMath>
        <m:r>
          <w:rPr>
            <w:rFonts w:ascii="Cambria Math" w:eastAsiaTheme="minorEastAsia" w:hAnsi="Cambria Math"/>
            <w:lang w:eastAsia="zh-CN"/>
          </w:rPr>
          <m:t>τ</m:t>
        </m:r>
      </m:oMath>
      <w:r w:rsidR="00A6787B">
        <w:rPr>
          <w:rFonts w:eastAsiaTheme="minorEastAsia"/>
        </w:rPr>
        <w:t xml:space="preserve"> </w:t>
      </w:r>
      <w:r>
        <w:rPr>
          <w:rFonts w:eastAsiaTheme="minorEastAsia"/>
        </w:rPr>
        <w:t xml:space="preserve">est toujours positive. Ainsi, </w:t>
      </w:r>
      <w:r w:rsidRPr="00030DED">
        <w:rPr>
          <w:rFonts w:eastAsiaTheme="minorEastAsia"/>
        </w:rPr>
        <w:t xml:space="preserve">la seule exigence de </w:t>
      </w:r>
      <w:r w:rsidR="00C33D70" w:rsidRPr="00030DED">
        <w:rPr>
          <w:rFonts w:eastAsiaTheme="minorEastAsia"/>
        </w:rPr>
        <w:t>stabilité</w:t>
      </w:r>
      <w:r>
        <w:rPr>
          <w:rFonts w:eastAsiaTheme="minorEastAsia"/>
        </w:rPr>
        <w:t xml:space="preserve"> de la solution </w:t>
      </w:r>
      <w:r w:rsidR="00C33D70">
        <w:rPr>
          <w:rFonts w:eastAsiaTheme="minorEastAsia"/>
        </w:rPr>
        <w:t xml:space="preserve">générale est que la partie réelle des valeurs propres ne soit pas positive.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C33D70" w:rsidRPr="00E03861" w14:paraId="2B7075A4" w14:textId="77777777" w:rsidTr="00F47724">
        <w:trPr>
          <w:trHeight w:val="635"/>
          <w:tblHeader/>
          <w:jc w:val="center"/>
        </w:trPr>
        <w:tc>
          <w:tcPr>
            <w:tcW w:w="7943" w:type="dxa"/>
            <w:vAlign w:val="center"/>
          </w:tcPr>
          <w:p w14:paraId="68030C41" w14:textId="50DE4AA7" w:rsidR="00C33D70" w:rsidRPr="00E03861" w:rsidRDefault="005D7F8D" w:rsidP="00EF1C4F">
            <w:pPr>
              <w:spacing w:after="160" w:line="360" w:lineRule="auto"/>
              <w:jc w:val="center"/>
              <w:rPr>
                <w:rFonts w:asciiTheme="minorHAnsi" w:eastAsiaTheme="minorEastAsia" w:hAnsiTheme="minorHAnsi"/>
                <w:lang w:eastAsia="zh-CN"/>
              </w:rPr>
            </w:pPr>
            <m:oMathPara>
              <m:oMath>
                <m:r>
                  <w:rPr>
                    <w:rFonts w:ascii="Cambria Math" w:eastAsiaTheme="minorEastAsia" w:hAnsi="Cambria Math"/>
                    <w:lang w:eastAsia="zh-CN"/>
                  </w:rPr>
                  <w:lastRenderedPageBreak/>
                  <m:t>Re</m:t>
                </m:r>
                <m:d>
                  <m:dPr>
                    <m:ctrlPr>
                      <w:rPr>
                        <w:rFonts w:ascii="Cambria Math" w:eastAsiaTheme="minorEastAsia" w:hAnsi="Cambria Math"/>
                        <w:i/>
                        <w:lang w:eastAsia="zh-CN"/>
                      </w:rPr>
                    </m:ctrlPr>
                  </m:dPr>
                  <m:e>
                    <m:r>
                      <w:rPr>
                        <w:rFonts w:ascii="Cambria Math" w:eastAsiaTheme="minorEastAsia" w:hAnsi="Cambria Math"/>
                        <w:lang w:eastAsia="zh-CN"/>
                      </w:rPr>
                      <m:t>s</m:t>
                    </m:r>
                  </m:e>
                </m:d>
                <m:r>
                  <w:rPr>
                    <w:rFonts w:ascii="Cambria Math" w:eastAsiaTheme="minorEastAsia" w:hAnsi="Cambria Math"/>
                    <w:lang w:eastAsia="zh-CN"/>
                  </w:rPr>
                  <m:t>≤0</m:t>
                </m:r>
              </m:oMath>
            </m:oMathPara>
          </w:p>
        </w:tc>
        <w:tc>
          <w:tcPr>
            <w:tcW w:w="1096" w:type="dxa"/>
            <w:vAlign w:val="center"/>
          </w:tcPr>
          <w:p w14:paraId="57F9F673" w14:textId="77777777" w:rsidR="00C33D70" w:rsidRPr="00E03861" w:rsidRDefault="00C33D70" w:rsidP="00EF1C4F">
            <w:pPr>
              <w:numPr>
                <w:ilvl w:val="0"/>
                <w:numId w:val="7"/>
              </w:numPr>
              <w:overflowPunct/>
              <w:autoSpaceDE/>
              <w:autoSpaceDN/>
              <w:adjustRightInd/>
              <w:spacing w:before="120" w:after="120" w:line="360" w:lineRule="auto"/>
              <w:jc w:val="left"/>
              <w:textAlignment w:val="auto"/>
              <w:rPr>
                <w:rFonts w:ascii="Times New Roman" w:eastAsiaTheme="minorEastAsia" w:hAnsi="Times New Roman"/>
                <w:b/>
                <w:i/>
              </w:rPr>
            </w:pPr>
            <w:r w:rsidRPr="00E03861">
              <w:rPr>
                <w:rFonts w:ascii="Times New Roman" w:eastAsiaTheme="minorEastAsia" w:hAnsi="Times New Roman"/>
                <w:b/>
                <w:i/>
              </w:rPr>
              <w:t xml:space="preserve"> </w:t>
            </w:r>
          </w:p>
        </w:tc>
      </w:tr>
    </w:tbl>
    <w:p w14:paraId="0589F4F9" w14:textId="2BF97FD5" w:rsidR="00706342" w:rsidRDefault="00EA70A3" w:rsidP="00EF1C4F">
      <w:pPr>
        <w:spacing w:line="360" w:lineRule="auto"/>
        <w:rPr>
          <w:rFonts w:eastAsiaTheme="minorEastAsia"/>
          <w:lang w:eastAsia="zh-CN"/>
        </w:rPr>
      </w:pPr>
      <w:r>
        <w:rPr>
          <w:rFonts w:eastAsiaTheme="minorEastAsia"/>
          <w:lang w:eastAsia="zh-CN"/>
        </w:rPr>
        <w:t xml:space="preserve">Ce qui revient à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FC49D9" w:rsidRPr="00E03861" w14:paraId="6F6EBA9A" w14:textId="77777777" w:rsidTr="00F47724">
        <w:trPr>
          <w:trHeight w:val="635"/>
          <w:tblHeader/>
          <w:jc w:val="center"/>
        </w:trPr>
        <w:tc>
          <w:tcPr>
            <w:tcW w:w="7943" w:type="dxa"/>
            <w:vAlign w:val="center"/>
          </w:tcPr>
          <w:p w14:paraId="033397AC" w14:textId="234B0D8E" w:rsidR="00FC49D9" w:rsidRDefault="004405F0" w:rsidP="00274D1E">
            <w:pPr>
              <w:spacing w:after="160"/>
              <w:jc w:val="center"/>
              <w:rPr>
                <w:rFonts w:eastAsiaTheme="minorEastAsia"/>
                <w:lang w:eastAsia="zh-CN"/>
              </w:rPr>
            </w:pPr>
            <m:oMath>
              <m:r>
                <w:rPr>
                  <w:rFonts w:ascii="Cambria Math" w:eastAsiaTheme="minorEastAsia" w:hAnsi="Cambria Math"/>
                  <w:lang w:eastAsia="zh-CN"/>
                </w:rPr>
                <m:t>ς=</m:t>
              </m:r>
              <m:d>
                <m:dPr>
                  <m:begChr m:val="|"/>
                  <m:endChr m:val="|"/>
                  <m:ctrlPr>
                    <w:rPr>
                      <w:rFonts w:ascii="Cambria Math" w:eastAsiaTheme="minorEastAsia" w:hAnsi="Cambria Math"/>
                      <w:i/>
                      <w:lang w:eastAsia="zh-CN"/>
                    </w:rPr>
                  </m:ctrlPr>
                </m:dPr>
                <m:e>
                  <m:r>
                    <w:rPr>
                      <w:rFonts w:ascii="Cambria Math" w:eastAsiaTheme="minorEastAsia" w:hAnsi="Cambria Math"/>
                      <w:lang w:eastAsia="zh-CN"/>
                    </w:rPr>
                    <m:t>BAC</m:t>
                  </m:r>
                </m:e>
              </m:d>
              <m:r>
                <w:rPr>
                  <w:rFonts w:ascii="Cambria Math" w:eastAsiaTheme="minorEastAsia" w:hAnsi="Cambria Math"/>
                  <w:lang w:eastAsia="zh-CN"/>
                </w:rPr>
                <m:t>cos</m:t>
              </m:r>
              <m:sSub>
                <m:sSubPr>
                  <m:ctrlPr>
                    <w:rPr>
                      <w:rFonts w:ascii="Cambria Math" w:eastAsiaTheme="minorEastAsia" w:hAnsi="Cambria Math"/>
                      <w:i/>
                      <w:lang w:eastAsia="zh-CN"/>
                    </w:rPr>
                  </m:ctrlPr>
                </m:sSubPr>
                <m:e>
                  <m:r>
                    <w:rPr>
                      <w:rFonts w:ascii="Cambria Math" w:eastAsiaTheme="minorEastAsia" w:hAnsi="Cambria Math"/>
                      <w:lang w:eastAsia="zh-CN"/>
                    </w:rPr>
                    <m:t>∠</m:t>
                  </m:r>
                </m:e>
                <m:sub>
                  <m:r>
                    <w:rPr>
                      <w:rFonts w:ascii="Cambria Math" w:eastAsiaTheme="minorEastAsia" w:hAnsi="Cambria Math"/>
                      <w:lang w:eastAsia="zh-CN"/>
                    </w:rPr>
                    <m:t>BAC</m:t>
                  </m:r>
                </m:sub>
              </m:sSub>
              <m:r>
                <w:rPr>
                  <w:rFonts w:ascii="Cambria Math" w:eastAsiaTheme="minorEastAsia" w:hAnsi="Cambria Math"/>
                  <w:lang w:eastAsia="zh-CN"/>
                </w:rPr>
                <m:t>≤ 1</m:t>
              </m:r>
            </m:oMath>
            <w:r w:rsidR="00FC49D9">
              <w:rPr>
                <w:rFonts w:eastAsiaTheme="minorEastAsia"/>
                <w:lang w:eastAsia="zh-CN"/>
              </w:rPr>
              <w:t xml:space="preserve"> </w:t>
            </w:r>
          </w:p>
          <w:p w14:paraId="7303FD2F" w14:textId="77777777" w:rsidR="00FC49D9" w:rsidRDefault="00FC49D9" w:rsidP="00274D1E">
            <w:pPr>
              <w:spacing w:after="160"/>
              <w:jc w:val="center"/>
              <w:rPr>
                <w:rFonts w:eastAsiaTheme="minorEastAsia"/>
                <w:lang w:eastAsia="zh-CN"/>
              </w:rPr>
            </w:pPr>
            <w:r>
              <w:rPr>
                <w:rFonts w:eastAsiaTheme="minorEastAsia"/>
                <w:lang w:eastAsia="zh-CN"/>
              </w:rPr>
              <w:t xml:space="preserve">ou </w:t>
            </w:r>
          </w:p>
          <w:p w14:paraId="37CD29FF" w14:textId="557CE0F9" w:rsidR="00FC49D9" w:rsidRPr="00E03861" w:rsidRDefault="004405F0" w:rsidP="00274D1E">
            <w:pPr>
              <w:spacing w:after="160"/>
              <w:jc w:val="center"/>
              <w:rPr>
                <w:rFonts w:asciiTheme="minorHAnsi" w:eastAsiaTheme="minorEastAsia" w:hAnsiTheme="minorHAnsi"/>
                <w:lang w:eastAsia="zh-CN"/>
              </w:rPr>
            </w:pPr>
            <m:oMathPara>
              <m:oMath>
                <m:r>
                  <w:rPr>
                    <w:rFonts w:ascii="Cambria Math" w:eastAsiaTheme="minorEastAsia" w:hAnsi="Cambria Math"/>
                    <w:lang w:eastAsia="zh-CN"/>
                  </w:rPr>
                  <m:t>ς=</m:t>
                </m:r>
                <m:d>
                  <m:dPr>
                    <m:begChr m:val="|"/>
                    <m:endChr m:val="|"/>
                    <m:ctrlPr>
                      <w:rPr>
                        <w:rFonts w:ascii="Cambria Math" w:eastAsiaTheme="minorEastAsia" w:hAnsi="Cambria Math"/>
                        <w:i/>
                        <w:lang w:eastAsia="zh-CN"/>
                      </w:rPr>
                    </m:ctrlPr>
                  </m:dPr>
                  <m:e>
                    <m:r>
                      <w:rPr>
                        <w:rFonts w:ascii="Cambria Math" w:eastAsiaTheme="minorEastAsia" w:hAnsi="Cambria Math"/>
                        <w:lang w:eastAsia="zh-CN"/>
                      </w:rPr>
                      <m:t>B</m:t>
                    </m:r>
                  </m:e>
                </m:d>
                <m:d>
                  <m:dPr>
                    <m:begChr m:val="|"/>
                    <m:endChr m:val="|"/>
                    <m:ctrlPr>
                      <w:rPr>
                        <w:rFonts w:ascii="Cambria Math" w:eastAsiaTheme="minorEastAsia" w:hAnsi="Cambria Math"/>
                        <w:i/>
                        <w:lang w:eastAsia="zh-CN"/>
                      </w:rPr>
                    </m:ctrlPr>
                  </m:dPr>
                  <m:e>
                    <m:r>
                      <w:rPr>
                        <w:rFonts w:ascii="Cambria Math" w:eastAsiaTheme="minorEastAsia" w:hAnsi="Cambria Math"/>
                        <w:lang w:eastAsia="zh-CN"/>
                      </w:rPr>
                      <m:t>A</m:t>
                    </m:r>
                  </m:e>
                </m:d>
                <m:d>
                  <m:dPr>
                    <m:begChr m:val="|"/>
                    <m:endChr m:val="|"/>
                    <m:ctrlPr>
                      <w:rPr>
                        <w:rFonts w:ascii="Cambria Math" w:eastAsiaTheme="minorEastAsia" w:hAnsi="Cambria Math"/>
                        <w:i/>
                        <w:lang w:eastAsia="zh-CN"/>
                      </w:rPr>
                    </m:ctrlPr>
                  </m:dPr>
                  <m:e>
                    <m:r>
                      <w:rPr>
                        <w:rFonts w:ascii="Cambria Math" w:eastAsiaTheme="minorEastAsia" w:hAnsi="Cambria Math"/>
                        <w:lang w:eastAsia="zh-CN"/>
                      </w:rPr>
                      <m:t>C</m:t>
                    </m:r>
                  </m:e>
                </m:d>
                <m:r>
                  <w:rPr>
                    <w:rFonts w:ascii="Cambria Math" w:eastAsiaTheme="minorEastAsia" w:hAnsi="Cambria Math"/>
                    <w:lang w:eastAsia="zh-CN"/>
                  </w:rPr>
                  <m:t>cos</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m:t>
                        </m:r>
                      </m:e>
                      <m:sub>
                        <m:r>
                          <w:rPr>
                            <w:rFonts w:ascii="Cambria Math" w:eastAsiaTheme="minorEastAsia" w:hAnsi="Cambria Math"/>
                            <w:lang w:eastAsia="zh-CN"/>
                          </w:rPr>
                          <m:t>B</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m:t>
                        </m:r>
                      </m:e>
                      <m:sub>
                        <m:r>
                          <w:rPr>
                            <w:rFonts w:ascii="Cambria Math" w:eastAsiaTheme="minorEastAsia" w:hAnsi="Cambria Math"/>
                            <w:lang w:eastAsia="zh-CN"/>
                          </w:rPr>
                          <m:t>A</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m:t>
                        </m:r>
                      </m:e>
                      <m:sub>
                        <m:r>
                          <w:rPr>
                            <w:rFonts w:ascii="Cambria Math" w:eastAsiaTheme="minorEastAsia" w:hAnsi="Cambria Math"/>
                            <w:lang w:eastAsia="zh-CN"/>
                          </w:rPr>
                          <m:t>C</m:t>
                        </m:r>
                      </m:sub>
                    </m:sSub>
                  </m:e>
                </m:d>
                <m:r>
                  <w:rPr>
                    <w:rFonts w:ascii="Cambria Math" w:eastAsiaTheme="minorEastAsia" w:hAnsi="Cambria Math"/>
                    <w:lang w:eastAsia="zh-CN"/>
                  </w:rPr>
                  <m:t>≤1</m:t>
                </m:r>
              </m:oMath>
            </m:oMathPara>
          </w:p>
        </w:tc>
        <w:tc>
          <w:tcPr>
            <w:tcW w:w="1096" w:type="dxa"/>
            <w:vAlign w:val="center"/>
          </w:tcPr>
          <w:p w14:paraId="54D0F5B3" w14:textId="77777777" w:rsidR="00FC49D9" w:rsidRPr="00E03861" w:rsidRDefault="00FC49D9" w:rsidP="00EF1C4F">
            <w:pPr>
              <w:numPr>
                <w:ilvl w:val="0"/>
                <w:numId w:val="7"/>
              </w:numPr>
              <w:overflowPunct/>
              <w:autoSpaceDE/>
              <w:autoSpaceDN/>
              <w:adjustRightInd/>
              <w:spacing w:before="120" w:after="120" w:line="360" w:lineRule="auto"/>
              <w:jc w:val="left"/>
              <w:textAlignment w:val="auto"/>
              <w:rPr>
                <w:rFonts w:ascii="Times New Roman" w:eastAsiaTheme="minorEastAsia" w:hAnsi="Times New Roman"/>
                <w:b/>
                <w:i/>
              </w:rPr>
            </w:pPr>
            <w:r w:rsidRPr="00E03861">
              <w:rPr>
                <w:rFonts w:ascii="Times New Roman" w:eastAsiaTheme="minorEastAsia" w:hAnsi="Times New Roman"/>
                <w:b/>
                <w:i/>
              </w:rPr>
              <w:t xml:space="preserve"> </w:t>
            </w:r>
          </w:p>
        </w:tc>
      </w:tr>
    </w:tbl>
    <w:p w14:paraId="16E00EFF" w14:textId="23B669D5" w:rsidR="002459BB" w:rsidRDefault="00B42E08" w:rsidP="00274D1E">
      <w:pPr>
        <w:spacing w:line="360" w:lineRule="auto"/>
        <w:rPr>
          <w:rFonts w:eastAsiaTheme="minorEastAsia"/>
          <w:lang w:eastAsia="zh-CN"/>
        </w:rPr>
      </w:pPr>
      <w:r>
        <w:rPr>
          <w:rFonts w:eastAsiaTheme="minorEastAsia"/>
          <w:lang w:eastAsia="zh-CN"/>
        </w:rPr>
        <w:t>Ainsi, on introduire l’indicateur</w:t>
      </w:r>
      <w:r w:rsidR="0097065B">
        <w:rPr>
          <w:rFonts w:eastAsiaTheme="minorEastAsia"/>
          <w:lang w:eastAsia="zh-CN"/>
        </w:rPr>
        <w:t xml:space="preserve"> </w:t>
      </w:r>
      <w:r>
        <w:rPr>
          <w:rFonts w:eastAsiaTheme="minorEastAsia"/>
          <w:lang w:eastAsia="zh-CN"/>
        </w:rPr>
        <w:t>de l’effet Morton</w:t>
      </w:r>
      <w:r w:rsidR="0097065B">
        <w:rPr>
          <w:rFonts w:eastAsiaTheme="minorEastAsia"/>
          <w:lang w:eastAsia="zh-CN"/>
        </w:rPr>
        <w:t xml:space="preserve"> </w:t>
      </w:r>
      <m:oMath>
        <m:r>
          <w:rPr>
            <w:rFonts w:ascii="Cambria Math" w:eastAsiaTheme="minorEastAsia" w:hAnsi="Cambria Math"/>
            <w:lang w:eastAsia="zh-CN"/>
          </w:rPr>
          <m:t>ς</m:t>
        </m:r>
      </m:oMath>
      <w:r>
        <w:rPr>
          <w:rFonts w:eastAsiaTheme="minorEastAsia"/>
          <w:lang w:eastAsia="zh-CN"/>
        </w:rPr>
        <w:t xml:space="preserve"> qui permet de conditionne l’apparition de l’effet Morton instable.</w:t>
      </w:r>
    </w:p>
    <w:p w14:paraId="3C8C5723" w14:textId="150DEE29" w:rsidR="006B2ED3" w:rsidRDefault="006B2ED3" w:rsidP="00274D1E">
      <w:pPr>
        <w:spacing w:line="360" w:lineRule="auto"/>
        <w:rPr>
          <w:rFonts w:eastAsiaTheme="minorEastAsia"/>
          <w:lang w:eastAsia="zh-CN"/>
        </w:rPr>
      </w:pPr>
      <w:r>
        <w:rPr>
          <w:rFonts w:eastAsiaTheme="minorEastAsia"/>
          <w:lang w:eastAsia="zh-CN"/>
        </w:rPr>
        <w:t>L’</w:t>
      </w:r>
      <w:r w:rsidR="00801D62">
        <w:rPr>
          <w:rFonts w:eastAsiaTheme="minorEastAsia"/>
          <w:lang w:eastAsia="zh-CN"/>
        </w:rPr>
        <w:t>étude</w:t>
      </w:r>
      <w:r>
        <w:rPr>
          <w:rFonts w:eastAsiaTheme="minorEastAsia"/>
          <w:lang w:eastAsia="zh-CN"/>
        </w:rPr>
        <w:t xml:space="preserve"> de stabilité de l’effet Morton revient à calculer les</w:t>
      </w:r>
      <w:r w:rsidR="00801D62">
        <w:rPr>
          <w:rFonts w:eastAsiaTheme="minorEastAsia"/>
          <w:lang w:eastAsia="zh-CN"/>
        </w:rPr>
        <w:t xml:space="preserve"> trois</w:t>
      </w:r>
      <w:r>
        <w:rPr>
          <w:rFonts w:eastAsiaTheme="minorEastAsia"/>
          <w:lang w:eastAsia="zh-CN"/>
        </w:rPr>
        <w:t xml:space="preserve"> matrices de coefficients d’influence</w:t>
      </w:r>
      <w:r w:rsidR="00801D62">
        <w:rPr>
          <w:rFonts w:eastAsiaTheme="minorEastAsia"/>
          <w:lang w:eastAsia="zh-CN"/>
        </w:rPr>
        <w:t xml:space="preserve"> </w:t>
      </w:r>
      <m:oMath>
        <m:r>
          <m:rPr>
            <m:sty m:val="bi"/>
          </m:rPr>
          <w:rPr>
            <w:rFonts w:ascii="Cambria Math" w:eastAsiaTheme="minorEastAsia" w:hAnsi="Cambria Math"/>
            <w:lang w:eastAsia="zh-CN"/>
          </w:rPr>
          <m:t>A,B,C</m:t>
        </m:r>
      </m:oMath>
      <w:r w:rsidR="00801D62">
        <w:rPr>
          <w:rFonts w:eastAsiaTheme="minorEastAsia"/>
          <w:b/>
          <w:lang w:eastAsia="zh-CN"/>
        </w:rPr>
        <w:t xml:space="preserve"> </w:t>
      </w:r>
      <w:r w:rsidR="00801D62">
        <w:rPr>
          <w:rFonts w:eastAsiaTheme="minorEastAsia"/>
          <w:lang w:eastAsia="zh-CN"/>
        </w:rPr>
        <w:t>liée aux trois aspects physiques qui contribue au déclanchement de l’instabilité vibratoire. Ces trois matrices peuvent être obtenues avec les modèles simplifié</w:t>
      </w:r>
      <w:r w:rsidR="00C7738A">
        <w:rPr>
          <w:rFonts w:eastAsiaTheme="minorEastAsia"/>
          <w:lang w:eastAsia="zh-CN"/>
        </w:rPr>
        <w:t>s</w:t>
      </w:r>
      <w:r w:rsidR="00801D62">
        <w:rPr>
          <w:rFonts w:eastAsiaTheme="minorEastAsia"/>
          <w:lang w:eastAsia="zh-CN"/>
        </w:rPr>
        <w:t xml:space="preserve"> ou robuste</w:t>
      </w:r>
      <w:r w:rsidR="00C7738A">
        <w:rPr>
          <w:rFonts w:eastAsiaTheme="minorEastAsia"/>
          <w:lang w:eastAsia="zh-CN"/>
        </w:rPr>
        <w:t>s</w:t>
      </w:r>
      <w:r w:rsidR="00801D62">
        <w:rPr>
          <w:rFonts w:eastAsiaTheme="minorEastAsia"/>
          <w:lang w:eastAsia="zh-CN"/>
        </w:rPr>
        <w:t>, linéaire</w:t>
      </w:r>
      <w:r w:rsidR="00C7738A">
        <w:rPr>
          <w:rFonts w:eastAsiaTheme="minorEastAsia"/>
          <w:lang w:eastAsia="zh-CN"/>
        </w:rPr>
        <w:t>s</w:t>
      </w:r>
      <w:r w:rsidR="00801D62">
        <w:rPr>
          <w:rFonts w:eastAsiaTheme="minorEastAsia"/>
          <w:lang w:eastAsia="zh-CN"/>
        </w:rPr>
        <w:t xml:space="preserve"> ou no</w:t>
      </w:r>
      <w:r w:rsidR="00C7738A">
        <w:rPr>
          <w:rFonts w:eastAsiaTheme="minorEastAsia"/>
          <w:lang w:eastAsia="zh-CN"/>
        </w:rPr>
        <w:t>n-</w:t>
      </w:r>
      <w:r w:rsidR="00801D62">
        <w:rPr>
          <w:rFonts w:eastAsiaTheme="minorEastAsia"/>
          <w:lang w:eastAsia="zh-CN"/>
        </w:rPr>
        <w:t>linéaire</w:t>
      </w:r>
      <w:r w:rsidR="00C7738A">
        <w:rPr>
          <w:rFonts w:eastAsiaTheme="minorEastAsia"/>
          <w:lang w:eastAsia="zh-CN"/>
        </w:rPr>
        <w:t>s</w:t>
      </w:r>
      <w:r w:rsidR="00021E52">
        <w:rPr>
          <w:rFonts w:eastAsiaTheme="minorEastAsia"/>
          <w:lang w:eastAsia="zh-CN"/>
        </w:rPr>
        <w:t>. En fonction des modèles utilisés pour calculer les coefficients d’influence de l’effet Morton, l</w:t>
      </w:r>
      <w:r w:rsidR="00BD0036">
        <w:rPr>
          <w:rFonts w:eastAsiaTheme="minorEastAsia"/>
          <w:lang w:eastAsia="zh-CN"/>
        </w:rPr>
        <w:t>es</w:t>
      </w:r>
      <w:r w:rsidR="00021E52">
        <w:rPr>
          <w:rFonts w:eastAsiaTheme="minorEastAsia"/>
          <w:lang w:eastAsia="zh-CN"/>
        </w:rPr>
        <w:t xml:space="preserve"> méthode</w:t>
      </w:r>
      <w:r w:rsidR="00BD0036">
        <w:rPr>
          <w:rFonts w:eastAsiaTheme="minorEastAsia"/>
          <w:lang w:eastAsia="zh-CN"/>
        </w:rPr>
        <w:t>s</w:t>
      </w:r>
      <w:r w:rsidR="00021E52">
        <w:rPr>
          <w:rFonts w:eastAsiaTheme="minorEastAsia"/>
          <w:lang w:eastAsia="zh-CN"/>
        </w:rPr>
        <w:t xml:space="preserve"> d’analyse de l’effet Morton peuvent </w:t>
      </w:r>
      <w:r w:rsidR="00BD0036">
        <w:rPr>
          <w:rFonts w:eastAsiaTheme="minorEastAsia"/>
          <w:lang w:eastAsia="zh-CN"/>
        </w:rPr>
        <w:t>être regroupé en 3 types.</w:t>
      </w:r>
      <w:r w:rsidR="001C4688">
        <w:rPr>
          <w:rFonts w:eastAsiaTheme="minorEastAsia"/>
          <w:lang w:eastAsia="zh-CN"/>
        </w:rPr>
        <w:t xml:space="preserve"> Ces trois types de méthode visent différent compromis entre la qualité de prédiction et le temps de calcul.</w:t>
      </w:r>
    </w:p>
    <w:p w14:paraId="6B776227" w14:textId="3234B5D8" w:rsidR="00B421E6" w:rsidRDefault="003204AE" w:rsidP="00E362AA">
      <w:pPr>
        <w:pStyle w:val="Titre2"/>
        <w:spacing w:line="360" w:lineRule="auto"/>
      </w:pPr>
      <w:r>
        <w:t>Approche</w:t>
      </w:r>
      <w:r w:rsidR="00B421E6">
        <w:t xml:space="preserve"> Lorenz et Murphy</w:t>
      </w:r>
    </w:p>
    <w:p w14:paraId="15FF7EAC" w14:textId="11F17C95" w:rsidR="00712562" w:rsidRDefault="00CC5578" w:rsidP="00E362AA">
      <w:pPr>
        <w:spacing w:line="360" w:lineRule="auto"/>
      </w:pPr>
      <w:r>
        <w:t>L’approche</w:t>
      </w:r>
      <w:r w:rsidR="00D71AB6">
        <w:t xml:space="preserve"> proposée par Lorenz et Murphy</w:t>
      </w:r>
      <w:r w:rsidR="00BD3338">
        <w:t xml:space="preserve"> est une </w:t>
      </w:r>
      <w:r w:rsidR="00D71AB6">
        <w:t xml:space="preserve">démarche </w:t>
      </w:r>
      <w:r w:rsidR="00BD3338">
        <w:t>analytique</w:t>
      </w:r>
      <w:r w:rsidR="00BA4D0F">
        <w:t xml:space="preserve"> et simplifié </w:t>
      </w:r>
      <w:r w:rsidR="00BD3338">
        <w:t xml:space="preserve"> </w:t>
      </w:r>
      <w:r w:rsidR="00D71AB6">
        <w:t>qui vise à réaliser</w:t>
      </w:r>
      <w:r w:rsidR="00BA4D0F">
        <w:t xml:space="preserve"> l’analyse de l’effet Morton à partir des outils numérique</w:t>
      </w:r>
      <w:r w:rsidR="00C34217">
        <w:t>s répandus</w:t>
      </w:r>
      <w:r w:rsidR="00BA4D0F">
        <w:t xml:space="preserve"> </w:t>
      </w:r>
      <w:r w:rsidR="00C34217">
        <w:t xml:space="preserve">et </w:t>
      </w:r>
      <w:r w:rsidR="00BA4D0F" w:rsidRPr="00BA4D0F">
        <w:t>abordable</w:t>
      </w:r>
      <w:r w:rsidR="00BA4D0F">
        <w:t>s</w:t>
      </w:r>
      <w:r w:rsidR="00D71AB6">
        <w:t xml:space="preserve">. </w:t>
      </w:r>
      <w:r w:rsidR="002B42AF">
        <w:t>L’hypothèse inhérente dans cette méthode est que la réponse thermique du système rotor est infiniment lente par rapport à la réponse dynamique du rotor. C’est-à-dire, la réponse dynamique est traitée en régime stationnaire et l’analyse</w:t>
      </w:r>
      <w:r w:rsidR="00C34217">
        <w:t xml:space="preserve"> de l’effet Morton</w:t>
      </w:r>
      <w:r w:rsidR="002B42AF">
        <w:t xml:space="preserve"> est effectuée en état</w:t>
      </w:r>
      <w:r w:rsidR="00377BBE">
        <w:t xml:space="preserve"> quasi-</w:t>
      </w:r>
      <w:r w:rsidR="006C42D8">
        <w:t>stationnaire</w:t>
      </w:r>
      <w:r w:rsidR="002B42AF">
        <w:t>.</w:t>
      </w:r>
      <w:r w:rsidR="00140C8D">
        <w:t xml:space="preserve"> </w:t>
      </w:r>
      <w:r w:rsidR="00AE54CC">
        <w:t>Cette hypothèse permet d’éviter les calculs thermo-hydrodynamiques en régime transitoire dans le palier qui est souvent très couteux en termes de</w:t>
      </w:r>
      <w:r w:rsidR="00712562">
        <w:t xml:space="preserve"> temps de calcul. </w:t>
      </w:r>
      <w:r w:rsidR="000D2A99">
        <w:t xml:space="preserve"> </w:t>
      </w:r>
      <w:r w:rsidR="00BB3F77">
        <w:t xml:space="preserve">En outre, la réponse au balourd est effectuée en utilisant les coefficients dynamiques de palier et le calcul du balourd thermique s’est basé sur une formule analytique. Ces approches simplifiées et linéaire déterminent les coefficients d’influence de l’effet Morton avec une précision modérée et rendent l’analyse de l’effet Morton très accessible. </w:t>
      </w:r>
    </w:p>
    <w:p w14:paraId="52E24493" w14:textId="19E92231" w:rsidR="00570040" w:rsidRDefault="00D11274" w:rsidP="00E362AA">
      <w:pPr>
        <w:spacing w:line="360" w:lineRule="auto"/>
      </w:pPr>
      <w:r>
        <w:t xml:space="preserve">L’application de la méthode </w:t>
      </w:r>
      <w:r w:rsidR="00CA4DAE">
        <w:t xml:space="preserve">est divisée </w:t>
      </w:r>
      <w:r>
        <w:t>en 13 étapes</w:t>
      </w:r>
      <w:r w:rsidR="00CA4DAE">
        <w:t xml:space="preserve"> illustrées dans la figure XX. Les descriptions de chaque ét</w:t>
      </w:r>
      <w:r w:rsidR="00712562">
        <w:t>ape sont données dans la suite.</w:t>
      </w:r>
    </w:p>
    <w:p w14:paraId="15153311" w14:textId="185D451A" w:rsidR="007D4228" w:rsidRDefault="00570040" w:rsidP="007D4228">
      <w:pPr>
        <w:pStyle w:val="Paragraphedeliste"/>
        <w:numPr>
          <w:ilvl w:val="0"/>
          <w:numId w:val="38"/>
        </w:numPr>
        <w:spacing w:line="360" w:lineRule="auto"/>
      </w:pPr>
      <w:r>
        <w:t xml:space="preserve">Calculer les coefficients dynamiques à la position d’équilibre du rotor dans le palier  </w:t>
      </w:r>
      <w:r w:rsidR="00CA4DAE">
        <w:t>les calculs à charge imposé</w:t>
      </w:r>
      <w:r w:rsidR="009F77FB">
        <w:t xml:space="preserve"> </w:t>
      </w:r>
      <w:r>
        <w:t>aux</w:t>
      </w:r>
      <w:r w:rsidR="009F77FB">
        <w:t xml:space="preserve"> vitesse</w:t>
      </w:r>
      <w:r>
        <w:t>s</w:t>
      </w:r>
      <w:r w:rsidR="009F77FB">
        <w:t xml:space="preserve"> de rotation</w:t>
      </w:r>
      <w:r>
        <w:t xml:space="preserve"> ciblées</w:t>
      </w:r>
      <w:r w:rsidR="009F77FB">
        <w:t xml:space="preserve"> </w:t>
      </w:r>
      <w:r w:rsidR="00CA4DAE">
        <w:t>pour</w:t>
      </w:r>
      <w:r>
        <w:t xml:space="preserve"> le palier hydrodynamique </w:t>
      </w:r>
    </w:p>
    <w:p w14:paraId="4D30AF77" w14:textId="77777777" w:rsidR="007D4228" w:rsidRDefault="007D4228" w:rsidP="007D4228">
      <w:pPr>
        <w:spacing w:line="360" w:lineRule="auto"/>
      </w:pPr>
    </w:p>
    <w:p w14:paraId="2B41CBAB" w14:textId="68D35654" w:rsidR="007D4228" w:rsidRDefault="007D4228" w:rsidP="007D4228">
      <w:pPr>
        <w:spacing w:line="360" w:lineRule="auto"/>
      </w:pPr>
      <w:r>
        <w:t>Malgré l’efficacité</w:t>
      </w:r>
      <w:r w:rsidR="003A71AF">
        <w:t xml:space="preserve"> et le bon rapport qualité/temps </w:t>
      </w:r>
      <w:r>
        <w:t xml:space="preserve">de cette méthode d’analyse, </w:t>
      </w:r>
      <w:r w:rsidR="00E008DC">
        <w:t>s</w:t>
      </w:r>
      <w:r>
        <w:t>a limitation est également évidente. Elle ne prend pas en compte les effets transitoires qui contribuent au déclanchement de l’effet Morton instable</w:t>
      </w:r>
      <w:r w:rsidR="00204238">
        <w:t xml:space="preserve">. L’approche suppose </w:t>
      </w:r>
      <w:r w:rsidR="003A71AF">
        <w:t xml:space="preserve"> De plus</w:t>
      </w:r>
      <w:r>
        <w:t>, cette méthode ne considère pas la non-linéarité du palier lors d</w:t>
      </w:r>
      <w:r w:rsidR="00B710F0">
        <w:t>u grand déplacement du rotor dans le palier</w:t>
      </w:r>
      <w:r>
        <w:t xml:space="preserve"> et le modèle </w:t>
      </w:r>
      <w:r>
        <w:lastRenderedPageBreak/>
        <w:t>thermomécanique du rotor. Ces négligences pourraient introduire des imprécisions lors du calcul des coefficients d’influence de l’effet Morton</w:t>
      </w:r>
      <w:r w:rsidR="002459BB">
        <w:t xml:space="preserve"> et sous-estimer l’indicateur de l’effet </w:t>
      </w:r>
      <w:r w:rsidR="009A1680">
        <w:t>Morton</w:t>
      </w:r>
      <m:oMath>
        <m:r>
          <w:rPr>
            <w:rFonts w:ascii="Cambria Math" w:eastAsiaTheme="minorEastAsia" w:hAnsi="Cambria Math"/>
            <w:lang w:eastAsia="zh-CN"/>
          </w:rPr>
          <m:t xml:space="preserve"> ς</m:t>
        </m:r>
      </m:oMath>
      <w:r>
        <w:t>.</w:t>
      </w:r>
    </w:p>
    <w:p w14:paraId="719EF5EF" w14:textId="10D91D60" w:rsidR="00092CDA" w:rsidRDefault="003204AE" w:rsidP="00CA2071">
      <w:pPr>
        <w:pStyle w:val="Titre2"/>
        <w:spacing w:line="360" w:lineRule="auto"/>
      </w:pPr>
      <w:r>
        <w:t>Approche</w:t>
      </w:r>
      <w:r w:rsidR="000329E0">
        <w:t xml:space="preserve"> </w:t>
      </w:r>
      <w:r w:rsidR="00711935">
        <w:t xml:space="preserve">analytique </w:t>
      </w:r>
      <w:r w:rsidR="00092CDA">
        <w:t>Améliorée</w:t>
      </w:r>
    </w:p>
    <w:p w14:paraId="7FE5ED3D" w14:textId="032B3B6E" w:rsidR="002665C8" w:rsidRDefault="00CC5578" w:rsidP="00CA2071">
      <w:pPr>
        <w:spacing w:line="360" w:lineRule="auto"/>
      </w:pPr>
      <w:r>
        <w:t xml:space="preserve">L’approche analytique améliorée est inspirée de </w:t>
      </w:r>
      <w:r w:rsidR="00490D55">
        <w:t>celle de Lorenz et Murphy. Cette approche utilise les modèles plus précis qui permettent de calculer les coefficients d’influence de l’effet Morton.</w:t>
      </w:r>
    </w:p>
    <w:p w14:paraId="112930AD" w14:textId="77777777" w:rsidR="006D08DE" w:rsidRDefault="004B1B84" w:rsidP="00CA2071">
      <w:pPr>
        <w:spacing w:line="360" w:lineRule="auto"/>
      </w:pPr>
      <w:r>
        <w:t>Comparaison des approches pour calculer les coefficient</w:t>
      </w:r>
      <w:r w:rsidR="00126E4E">
        <w:t>s</w:t>
      </w:r>
      <w:r>
        <w:t xml:space="preserve"> d’influence de l’effet Morton. </w:t>
      </w:r>
    </w:p>
    <w:p w14:paraId="7C6F568B" w14:textId="65043932" w:rsidR="00CF2EA7" w:rsidRDefault="00FB05E1" w:rsidP="00CA2071">
      <w:pPr>
        <w:spacing w:line="360" w:lineRule="auto"/>
      </w:pPr>
      <w:r>
        <w:rPr>
          <w:noProof/>
          <w:lang w:eastAsia="zh-CN"/>
        </w:rPr>
        <w:drawing>
          <wp:inline distT="0" distB="0" distL="0" distR="0" wp14:anchorId="78EA6A17" wp14:editId="37395BC7">
            <wp:extent cx="5760720" cy="173799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737995"/>
                    </a:xfrm>
                    <a:prstGeom prst="rect">
                      <a:avLst/>
                    </a:prstGeom>
                  </pic:spPr>
                </pic:pic>
              </a:graphicData>
            </a:graphic>
          </wp:inline>
        </w:drawing>
      </w:r>
    </w:p>
    <w:p w14:paraId="759AE05A" w14:textId="6451C82A" w:rsidR="001A11B7" w:rsidRDefault="00A548E9" w:rsidP="001A11B7">
      <w:pPr>
        <w:pStyle w:val="Titre1"/>
        <w:spacing w:line="360" w:lineRule="auto"/>
      </w:pPr>
      <w:r>
        <w:t>Etude</w:t>
      </w:r>
      <w:r w:rsidR="00320F8E">
        <w:t>s</w:t>
      </w:r>
      <w:r>
        <w:t xml:space="preserve"> du banc d’éssai</w:t>
      </w:r>
    </w:p>
    <w:p w14:paraId="5C04D25C" w14:textId="62863AEB" w:rsidR="00DE1954" w:rsidRDefault="00286122" w:rsidP="00DE1954">
      <w:pPr>
        <w:spacing w:line="360" w:lineRule="auto"/>
      </w:pPr>
      <w:r>
        <w:t xml:space="preserve">Le banc d’essais dédié pour tester et valider la modélisation de l’effet Morton </w:t>
      </w:r>
      <w:r w:rsidR="00E92CB3">
        <w:t xml:space="preserve">possède deux configurations. </w:t>
      </w:r>
      <w:r w:rsidR="00401CF7">
        <w:t>Une configuration avec un rotor court</w:t>
      </w:r>
      <w:r w:rsidR="00D30BB3">
        <w:t xml:space="preserve"> de 430mm</w:t>
      </w:r>
      <w:r w:rsidR="00401CF7">
        <w:t xml:space="preserve"> et l’autre avec un rotor long</w:t>
      </w:r>
      <w:r w:rsidR="00D30BB3">
        <w:t xml:space="preserve"> de 700mm</w:t>
      </w:r>
      <w:r w:rsidR="00401CF7">
        <w:t xml:space="preserve">. </w:t>
      </w:r>
      <w:r w:rsidR="00484DDD">
        <w:t>Dans le</w:t>
      </w:r>
      <w:r w:rsidR="00D350E6">
        <w:t>s</w:t>
      </w:r>
      <w:r w:rsidR="00484DDD">
        <w:t xml:space="preserve"> deux configurations, le rotor est supporté du côté du moteur (DE) par un </w:t>
      </w:r>
      <w:r w:rsidR="00B734C2">
        <w:t xml:space="preserve">même </w:t>
      </w:r>
      <w:r w:rsidR="00484DDD">
        <w:t xml:space="preserve">roulement à billes acceptant un léger rotulage et du côté opposé au moteur (NDE) par le </w:t>
      </w:r>
      <w:r w:rsidR="00B734C2">
        <w:t xml:space="preserve">même </w:t>
      </w:r>
      <w:r w:rsidR="00484DDD">
        <w:t xml:space="preserve">palier testé. </w:t>
      </w:r>
      <w:r w:rsidR="008B13E0">
        <w:t xml:space="preserve">A l’extrémité NDE du rotor, </w:t>
      </w:r>
      <w:r w:rsidR="00C76355">
        <w:t xml:space="preserve"> </w:t>
      </w:r>
      <w:r w:rsidR="00D350E6">
        <w:t>u</w:t>
      </w:r>
      <w:r w:rsidR="006A1EC1">
        <w:t xml:space="preserve">n disque de 0.7kg </w:t>
      </w:r>
      <w:r w:rsidR="001A0B7A">
        <w:t>ou</w:t>
      </w:r>
      <w:r w:rsidR="008B13E0">
        <w:t xml:space="preserve"> un disque de 10kg </w:t>
      </w:r>
      <w:r w:rsidR="001A0B7A">
        <w:t>est</w:t>
      </w:r>
      <w:r w:rsidR="006A1EC1">
        <w:t xml:space="preserve"> monté</w:t>
      </w:r>
      <w:r w:rsidR="008B13E0">
        <w:t xml:space="preserve"> en porte à </w:t>
      </w:r>
      <w:r w:rsidR="00DE1954">
        <w:t>faux,</w:t>
      </w:r>
      <w:r w:rsidR="001A0B7A">
        <w:t xml:space="preserve"> respectivement </w:t>
      </w:r>
      <w:r w:rsidR="006A1EC1">
        <w:t xml:space="preserve">sur le rotor court </w:t>
      </w:r>
      <w:r w:rsidR="001A0B7A">
        <w:t>ou</w:t>
      </w:r>
      <w:r w:rsidR="008B13E0">
        <w:t xml:space="preserve"> </w:t>
      </w:r>
      <w:r w:rsidR="00DE1954">
        <w:t>le rotor long.</w:t>
      </w:r>
      <w:r w:rsidR="000941E6">
        <w:t xml:space="preserve"> La composition du rotor est synthétisée dans la </w:t>
      </w:r>
      <w:r w:rsidR="000941E6" w:rsidRPr="009E7CAD">
        <w:rPr>
          <w:b/>
        </w:rPr>
        <w:fldChar w:fldCharType="begin"/>
      </w:r>
      <w:r w:rsidR="000941E6" w:rsidRPr="009E7CAD">
        <w:rPr>
          <w:b/>
        </w:rPr>
        <w:instrText xml:space="preserve"> REF _Ref530413322 \h </w:instrText>
      </w:r>
      <w:r w:rsidR="000941E6">
        <w:rPr>
          <w:b/>
        </w:rPr>
        <w:instrText xml:space="preserve"> \* MERGEFORMAT </w:instrText>
      </w:r>
      <w:r w:rsidR="000941E6" w:rsidRPr="009E7CAD">
        <w:rPr>
          <w:b/>
        </w:rPr>
      </w:r>
      <w:r w:rsidR="000941E6" w:rsidRPr="009E7CAD">
        <w:rPr>
          <w:b/>
        </w:rPr>
        <w:fldChar w:fldCharType="separate"/>
      </w:r>
      <w:r w:rsidR="000941E6" w:rsidRPr="009E7CAD">
        <w:rPr>
          <w:b/>
          <w:i/>
          <w:iCs/>
        </w:rPr>
        <w:t>Figure 1</w:t>
      </w:r>
      <w:r w:rsidR="000941E6" w:rsidRPr="009E7CAD">
        <w:rPr>
          <w:b/>
        </w:rPr>
        <w:fldChar w:fldCharType="end"/>
      </w:r>
      <w:r w:rsidR="000941E6" w:rsidRPr="005F5F9E">
        <w:t>.</w:t>
      </w:r>
      <w:r w:rsidR="000941E6">
        <w:t xml:space="preserve">  </w:t>
      </w:r>
    </w:p>
    <w:p w14:paraId="4DB27169" w14:textId="44B2DF6D" w:rsidR="00484DDD" w:rsidRDefault="00DE1954" w:rsidP="00DE1954">
      <w:pPr>
        <w:spacing w:line="360" w:lineRule="auto"/>
      </w:pPr>
      <w:r w:rsidRPr="00DE1954">
        <w:rPr>
          <w:noProof/>
          <w:lang w:eastAsia="zh-CN"/>
        </w:rPr>
        <w:drawing>
          <wp:inline distT="0" distB="0" distL="0" distR="0" wp14:anchorId="1D322002" wp14:editId="500B975D">
            <wp:extent cx="5760720" cy="2849245"/>
            <wp:effectExtent l="0" t="0" r="0" b="0"/>
            <wp:docPr id="31"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0"/>
                    <pic:cNvPicPr>
                      <a:picLocks noChangeAspect="1"/>
                    </pic:cNvPicPr>
                  </pic:nvPicPr>
                  <pic:blipFill>
                    <a:blip r:embed="rId9"/>
                    <a:stretch>
                      <a:fillRect/>
                    </a:stretch>
                  </pic:blipFill>
                  <pic:spPr>
                    <a:xfrm>
                      <a:off x="0" y="0"/>
                      <a:ext cx="5760720" cy="2849245"/>
                    </a:xfrm>
                    <a:prstGeom prst="rect">
                      <a:avLst/>
                    </a:prstGeom>
                  </pic:spPr>
                </pic:pic>
              </a:graphicData>
            </a:graphic>
          </wp:inline>
        </w:drawing>
      </w:r>
    </w:p>
    <w:p w14:paraId="51B5B484" w14:textId="6D051664" w:rsidR="00484DDD" w:rsidRPr="00484DDD" w:rsidRDefault="00484DDD" w:rsidP="00DE1954">
      <w:pPr>
        <w:pStyle w:val="Lgende"/>
        <w:jc w:val="center"/>
        <w:rPr>
          <w:rFonts w:ascii="Calibri" w:eastAsia="Times New Roman" w:hAnsi="Calibri" w:cs="Times New Roman"/>
          <w:i w:val="0"/>
          <w:iCs w:val="0"/>
          <w:color w:val="auto"/>
          <w:sz w:val="22"/>
          <w:szCs w:val="20"/>
          <w:lang w:eastAsia="fr-FR"/>
        </w:rPr>
      </w:pPr>
      <w:bookmarkStart w:id="4" w:name="_Ref530413322"/>
      <w:r w:rsidRPr="00484DDD">
        <w:rPr>
          <w:rFonts w:ascii="Calibri" w:eastAsia="Times New Roman" w:hAnsi="Calibri" w:cs="Times New Roman"/>
          <w:i w:val="0"/>
          <w:iCs w:val="0"/>
          <w:color w:val="auto"/>
          <w:sz w:val="22"/>
          <w:szCs w:val="20"/>
          <w:lang w:eastAsia="fr-FR"/>
        </w:rPr>
        <w:t xml:space="preserve">Figure </w:t>
      </w:r>
      <w:r w:rsidRPr="00484DDD">
        <w:rPr>
          <w:rFonts w:ascii="Calibri" w:eastAsia="Times New Roman" w:hAnsi="Calibri" w:cs="Times New Roman"/>
          <w:i w:val="0"/>
          <w:iCs w:val="0"/>
          <w:color w:val="auto"/>
          <w:sz w:val="22"/>
          <w:szCs w:val="20"/>
          <w:lang w:eastAsia="fr-FR"/>
        </w:rPr>
        <w:fldChar w:fldCharType="begin"/>
      </w:r>
      <w:r w:rsidRPr="00484DDD">
        <w:rPr>
          <w:rFonts w:ascii="Calibri" w:eastAsia="Times New Roman" w:hAnsi="Calibri" w:cs="Times New Roman"/>
          <w:i w:val="0"/>
          <w:iCs w:val="0"/>
          <w:color w:val="auto"/>
          <w:sz w:val="22"/>
          <w:szCs w:val="20"/>
          <w:lang w:eastAsia="fr-FR"/>
        </w:rPr>
        <w:instrText xml:space="preserve"> SEQ Figure \* ARABIC </w:instrText>
      </w:r>
      <w:r w:rsidRPr="00484DDD">
        <w:rPr>
          <w:rFonts w:ascii="Calibri" w:eastAsia="Times New Roman" w:hAnsi="Calibri" w:cs="Times New Roman"/>
          <w:i w:val="0"/>
          <w:iCs w:val="0"/>
          <w:color w:val="auto"/>
          <w:sz w:val="22"/>
          <w:szCs w:val="20"/>
          <w:lang w:eastAsia="fr-FR"/>
        </w:rPr>
        <w:fldChar w:fldCharType="separate"/>
      </w:r>
      <w:r w:rsidR="006564D8">
        <w:rPr>
          <w:rFonts w:ascii="Calibri" w:eastAsia="Times New Roman" w:hAnsi="Calibri" w:cs="Times New Roman"/>
          <w:i w:val="0"/>
          <w:iCs w:val="0"/>
          <w:noProof/>
          <w:color w:val="auto"/>
          <w:sz w:val="22"/>
          <w:szCs w:val="20"/>
          <w:lang w:eastAsia="fr-FR"/>
        </w:rPr>
        <w:t>1</w:t>
      </w:r>
      <w:r w:rsidRPr="00484DDD">
        <w:rPr>
          <w:rFonts w:ascii="Calibri" w:eastAsia="Times New Roman" w:hAnsi="Calibri" w:cs="Times New Roman"/>
          <w:i w:val="0"/>
          <w:iCs w:val="0"/>
          <w:color w:val="auto"/>
          <w:sz w:val="22"/>
          <w:szCs w:val="20"/>
          <w:lang w:eastAsia="fr-FR"/>
        </w:rPr>
        <w:fldChar w:fldCharType="end"/>
      </w:r>
      <w:bookmarkEnd w:id="4"/>
      <w:r>
        <w:rPr>
          <w:rFonts w:ascii="Calibri" w:eastAsia="Times New Roman" w:hAnsi="Calibri" w:cs="Times New Roman"/>
          <w:i w:val="0"/>
          <w:iCs w:val="0"/>
          <w:color w:val="auto"/>
          <w:sz w:val="22"/>
          <w:szCs w:val="20"/>
          <w:lang w:eastAsia="fr-FR"/>
        </w:rPr>
        <w:t xml:space="preserve"> : </w:t>
      </w:r>
      <w:r w:rsidR="00DE1954">
        <w:rPr>
          <w:rFonts w:ascii="Calibri" w:eastAsia="Times New Roman" w:hAnsi="Calibri" w:cs="Times New Roman"/>
          <w:i w:val="0"/>
          <w:iCs w:val="0"/>
          <w:color w:val="auto"/>
          <w:sz w:val="22"/>
          <w:szCs w:val="20"/>
          <w:lang w:eastAsia="fr-FR"/>
        </w:rPr>
        <w:t>Les deux configurations du banc d’essais utilisée</w:t>
      </w:r>
    </w:p>
    <w:p w14:paraId="0AE640EB" w14:textId="15F00749" w:rsidR="004C42DE" w:rsidRDefault="00320F8E" w:rsidP="00320F8E">
      <w:pPr>
        <w:pStyle w:val="Titre2"/>
      </w:pPr>
      <w:r>
        <w:lastRenderedPageBreak/>
        <w:t>Configuration du rotor court 430mm</w:t>
      </w:r>
    </w:p>
    <w:p w14:paraId="2ACD6B4B" w14:textId="34938B30" w:rsidR="004B3C07" w:rsidRDefault="004B3C07" w:rsidP="004B3C07">
      <w:pPr>
        <w:pStyle w:val="Titre3"/>
      </w:pPr>
      <w:r>
        <w:t xml:space="preserve">Description concise </w:t>
      </w:r>
      <w:r w:rsidR="00A5713B">
        <w:t xml:space="preserve">de la configuration </w:t>
      </w:r>
      <w:r w:rsidR="00D83F2C">
        <w:t>courte</w:t>
      </w:r>
    </w:p>
    <w:p w14:paraId="568F2655" w14:textId="05B186A4" w:rsidR="004B3C07" w:rsidRDefault="004B3C07" w:rsidP="004B3C07">
      <w:pPr>
        <w:spacing w:line="360" w:lineRule="auto"/>
      </w:pPr>
      <w:r>
        <w:t xml:space="preserve">Le rotor </w:t>
      </w:r>
      <w:r w:rsidR="00F64219">
        <w:t>court</w:t>
      </w:r>
      <w:r>
        <w:t xml:space="preserve"> possède un diamètre intérieur Ø35 mm et un diamètre extérieur Ø45 mm. Trois disques, d’une masse totale de 700 g, sont montés en porte à faux à l’extrémité NDE du rotor. Le palier est </w:t>
      </w:r>
      <w:r w:rsidR="00761106">
        <w:t xml:space="preserve">alimenté en huile ISO VG32 </w:t>
      </w:r>
      <w:r>
        <w:t>par une centrale hydraulique pilotable en pression. Les caractéristiques physiques nécessaires pour effectuer de l’analyse de l’effet Morton sont présentées</w:t>
      </w:r>
      <w:r w:rsidR="00484DDD">
        <w:t xml:space="preserve"> dans le tableau</w:t>
      </w:r>
      <w:r w:rsidR="00415FCC">
        <w:t>.</w:t>
      </w:r>
    </w:p>
    <w:p w14:paraId="5B793FC7" w14:textId="32C0129D" w:rsidR="00484DDD" w:rsidRPr="00901BDC" w:rsidRDefault="00484DDD" w:rsidP="009E228A">
      <w:pPr>
        <w:pStyle w:val="Lgende"/>
        <w:keepNext/>
        <w:spacing w:after="0"/>
        <w:jc w:val="center"/>
        <w:rPr>
          <w:rFonts w:ascii="Calibri" w:eastAsia="Times New Roman" w:hAnsi="Calibri" w:cs="Times New Roman"/>
          <w:i w:val="0"/>
          <w:iCs w:val="0"/>
          <w:color w:val="auto"/>
          <w:sz w:val="22"/>
          <w:szCs w:val="20"/>
          <w:lang w:eastAsia="fr-FR"/>
        </w:rPr>
      </w:pPr>
      <w:r w:rsidRPr="00901BDC">
        <w:rPr>
          <w:rFonts w:ascii="Calibri" w:eastAsia="Times New Roman" w:hAnsi="Calibri" w:cs="Times New Roman"/>
          <w:i w:val="0"/>
          <w:iCs w:val="0"/>
          <w:color w:val="auto"/>
          <w:sz w:val="22"/>
          <w:szCs w:val="20"/>
          <w:lang w:eastAsia="fr-FR"/>
        </w:rPr>
        <w:t xml:space="preserve">Tableau </w:t>
      </w:r>
      <w:r w:rsidRPr="00901BDC">
        <w:rPr>
          <w:rFonts w:ascii="Calibri" w:eastAsia="Times New Roman" w:hAnsi="Calibri" w:cs="Times New Roman"/>
          <w:i w:val="0"/>
          <w:iCs w:val="0"/>
          <w:color w:val="auto"/>
          <w:sz w:val="22"/>
          <w:szCs w:val="20"/>
          <w:lang w:eastAsia="fr-FR"/>
        </w:rPr>
        <w:fldChar w:fldCharType="begin"/>
      </w:r>
      <w:r w:rsidRPr="00901BDC">
        <w:rPr>
          <w:rFonts w:ascii="Calibri" w:eastAsia="Times New Roman" w:hAnsi="Calibri" w:cs="Times New Roman"/>
          <w:i w:val="0"/>
          <w:iCs w:val="0"/>
          <w:color w:val="auto"/>
          <w:sz w:val="22"/>
          <w:szCs w:val="20"/>
          <w:lang w:eastAsia="fr-FR"/>
        </w:rPr>
        <w:instrText xml:space="preserve"> SEQ Tableau \* ARABIC </w:instrText>
      </w:r>
      <w:r w:rsidRPr="00901BDC">
        <w:rPr>
          <w:rFonts w:ascii="Calibri" w:eastAsia="Times New Roman" w:hAnsi="Calibri" w:cs="Times New Roman"/>
          <w:i w:val="0"/>
          <w:iCs w:val="0"/>
          <w:color w:val="auto"/>
          <w:sz w:val="22"/>
          <w:szCs w:val="20"/>
          <w:lang w:eastAsia="fr-FR"/>
        </w:rPr>
        <w:fldChar w:fldCharType="separate"/>
      </w:r>
      <w:r w:rsidRPr="00901BDC">
        <w:rPr>
          <w:rFonts w:ascii="Calibri" w:eastAsia="Times New Roman" w:hAnsi="Calibri" w:cs="Times New Roman"/>
          <w:i w:val="0"/>
          <w:iCs w:val="0"/>
          <w:color w:val="auto"/>
          <w:sz w:val="22"/>
          <w:szCs w:val="20"/>
          <w:lang w:eastAsia="fr-FR"/>
        </w:rPr>
        <w:t>1</w:t>
      </w:r>
      <w:r w:rsidRPr="00901BDC">
        <w:rPr>
          <w:rFonts w:ascii="Calibri" w:eastAsia="Times New Roman" w:hAnsi="Calibri" w:cs="Times New Roman"/>
          <w:i w:val="0"/>
          <w:iCs w:val="0"/>
          <w:color w:val="auto"/>
          <w:sz w:val="22"/>
          <w:szCs w:val="20"/>
          <w:lang w:eastAsia="fr-FR"/>
        </w:rPr>
        <w:fldChar w:fldCharType="end"/>
      </w:r>
      <w:r w:rsidR="00901BDC">
        <w:rPr>
          <w:rFonts w:ascii="Calibri" w:eastAsia="Times New Roman" w:hAnsi="Calibri" w:cs="Times New Roman"/>
          <w:i w:val="0"/>
          <w:iCs w:val="0"/>
          <w:color w:val="auto"/>
          <w:sz w:val="22"/>
          <w:szCs w:val="20"/>
          <w:lang w:eastAsia="fr-FR"/>
        </w:rPr>
        <w:t> : paramètres physiques utilisé pour réaliser de l’analyse de l’effet Morton</w:t>
      </w:r>
    </w:p>
    <w:p w14:paraId="4CBE6CF6" w14:textId="76585450" w:rsidR="004B3C07" w:rsidRDefault="004046B2" w:rsidP="004B3C07">
      <w:pPr>
        <w:spacing w:line="360" w:lineRule="auto"/>
      </w:pPr>
      <w:r>
        <w:rPr>
          <w:noProof/>
          <w:lang w:eastAsia="zh-CN"/>
        </w:rPr>
        <w:drawing>
          <wp:inline distT="0" distB="0" distL="0" distR="0" wp14:anchorId="35A76E9C" wp14:editId="0461DF45">
            <wp:extent cx="5760720" cy="230441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304415"/>
                    </a:xfrm>
                    <a:prstGeom prst="rect">
                      <a:avLst/>
                    </a:prstGeom>
                  </pic:spPr>
                </pic:pic>
              </a:graphicData>
            </a:graphic>
          </wp:inline>
        </w:drawing>
      </w:r>
    </w:p>
    <w:p w14:paraId="0DC3A80E" w14:textId="6D3FA69C" w:rsidR="007B41B8" w:rsidRDefault="00D12952" w:rsidP="00F23F55">
      <w:pPr>
        <w:pStyle w:val="Titre3"/>
        <w:spacing w:line="360" w:lineRule="auto"/>
      </w:pPr>
      <w:r>
        <w:t>Analyse Modale</w:t>
      </w:r>
    </w:p>
    <w:p w14:paraId="6104FBDC" w14:textId="41DD8314" w:rsidR="00163CFE" w:rsidRDefault="00163CFE" w:rsidP="00F23F55">
      <w:pPr>
        <w:pStyle w:val="Default"/>
        <w:spacing w:line="360" w:lineRule="auto"/>
        <w:jc w:val="both"/>
      </w:pPr>
      <w:r>
        <w:t>L’analyse</w:t>
      </w:r>
      <w:r>
        <w:t xml:space="preserve"> modale du rotor court est réalisée en utilisant le modèle du rotor à </w:t>
      </w:r>
      <m:oMath>
        <m:r>
          <w:rPr>
            <w:rFonts w:ascii="Cambria Math" w:hAnsi="Cambria Math"/>
          </w:rPr>
          <m:t>n</m:t>
        </m:r>
      </m:oMath>
      <w:r>
        <w:t xml:space="preserve"> degrés de liberté</w:t>
      </w:r>
      <w:r>
        <w:t xml:space="preserve"> et </w:t>
      </w:r>
      <w:r>
        <w:t>en se basant sur les coefficients dynamiques du palier.</w:t>
      </w:r>
      <w:r w:rsidR="004D1E4A">
        <w:t xml:space="preserve"> </w:t>
      </w:r>
      <w:r w:rsidR="0085554C">
        <w:t>Ces coefficients</w:t>
      </w:r>
      <w:r w:rsidR="00A56D8C">
        <w:t xml:space="preserve"> sont présentés dans les</w:t>
      </w:r>
      <w:r w:rsidR="0085554C">
        <w:t xml:space="preserve"> </w:t>
      </w:r>
      <w:r w:rsidR="00A56D8C">
        <w:fldChar w:fldCharType="begin"/>
      </w:r>
      <w:r w:rsidR="00A56D8C">
        <w:instrText xml:space="preserve"> REF _Ref530417381 \h </w:instrText>
      </w:r>
      <w:r w:rsidR="00A56D8C">
        <w:fldChar w:fldCharType="separate"/>
      </w:r>
      <w:r w:rsidR="00A56D8C" w:rsidRPr="00686D71">
        <w:rPr>
          <w:i/>
          <w:iCs/>
        </w:rPr>
        <w:t>Figure</w:t>
      </w:r>
      <w:r w:rsidR="00A56D8C">
        <w:rPr>
          <w:i/>
          <w:iCs/>
        </w:rPr>
        <w:t>s</w:t>
      </w:r>
      <w:r w:rsidR="00A56D8C" w:rsidRPr="00686D71">
        <w:rPr>
          <w:i/>
          <w:iCs/>
        </w:rPr>
        <w:t xml:space="preserve"> </w:t>
      </w:r>
      <w:r w:rsidR="00A56D8C">
        <w:rPr>
          <w:i/>
          <w:iCs/>
          <w:noProof/>
        </w:rPr>
        <w:t>2</w:t>
      </w:r>
      <w:r w:rsidR="00A56D8C">
        <w:fldChar w:fldCharType="end"/>
      </w:r>
      <w:r w:rsidR="00A56D8C">
        <w:fldChar w:fldCharType="begin"/>
      </w:r>
      <w:r w:rsidR="00A56D8C">
        <w:instrText xml:space="preserve"> REF _Ref530417384 \h </w:instrText>
      </w:r>
      <w:r w:rsidR="00A56D8C">
        <w:fldChar w:fldCharType="separate"/>
      </w:r>
      <w:r w:rsidR="00A56D8C">
        <w:rPr>
          <w:i/>
          <w:iCs/>
        </w:rPr>
        <w:t xml:space="preserve"> et </w:t>
      </w:r>
      <w:r w:rsidR="00A56D8C">
        <w:rPr>
          <w:i/>
          <w:iCs/>
          <w:noProof/>
        </w:rPr>
        <w:t>3</w:t>
      </w:r>
      <w:r w:rsidR="00A56D8C">
        <w:fldChar w:fldCharType="end"/>
      </w:r>
      <w:r w:rsidR="00A56D8C">
        <w:t xml:space="preserve">. Ils </w:t>
      </w:r>
      <w:r w:rsidR="0085554C">
        <w:t>sont obtenus aux positions d’équilibre statique</w:t>
      </w:r>
      <w:r w:rsidR="007E0EEB">
        <w:t>s</w:t>
      </w:r>
      <w:r w:rsidR="00A95E3D">
        <w:t xml:space="preserve"> du rotor</w:t>
      </w:r>
      <w:r w:rsidR="001C2115">
        <w:t xml:space="preserve"> </w:t>
      </w:r>
      <w:r w:rsidR="001C2115">
        <w:t>dans le palier</w:t>
      </w:r>
      <w:r w:rsidR="001C2115">
        <w:t xml:space="preserve"> qui sont montrés</w:t>
      </w:r>
      <w:r w:rsidR="00A95E3D">
        <w:t xml:space="preserve"> à la </w:t>
      </w:r>
      <w:r w:rsidR="00A95E3D">
        <w:fldChar w:fldCharType="begin"/>
      </w:r>
      <w:r w:rsidR="00A95E3D">
        <w:instrText xml:space="preserve"> REF _Ref530417410 \h </w:instrText>
      </w:r>
      <w:r w:rsidR="00A95E3D">
        <w:fldChar w:fldCharType="separate"/>
      </w:r>
      <w:r w:rsidR="00A95E3D" w:rsidRPr="0038599C">
        <w:rPr>
          <w:i/>
          <w:iCs/>
        </w:rPr>
        <w:t xml:space="preserve">Figure </w:t>
      </w:r>
      <w:r w:rsidR="00A95E3D">
        <w:rPr>
          <w:i/>
          <w:iCs/>
          <w:noProof/>
        </w:rPr>
        <w:t>4</w:t>
      </w:r>
      <w:r w:rsidR="00A95E3D">
        <w:fldChar w:fldCharType="end"/>
      </w:r>
      <w:r w:rsidR="001C2115">
        <w:t>.</w:t>
      </w:r>
      <w:r w:rsidR="0085554C">
        <w:t xml:space="preserve"> </w:t>
      </w:r>
      <w:r w:rsidR="00C648BC">
        <w:t xml:space="preserve">La résolution de l’équation de l’énergie du film lubrifiant </w:t>
      </w:r>
      <w:r w:rsidR="0004265C">
        <w:t>est</w:t>
      </w:r>
      <w:r w:rsidR="00C648BC">
        <w:t xml:space="preserve"> prise en compte</w:t>
      </w:r>
      <w:r w:rsidR="0004265C">
        <w:t xml:space="preserve"> dans le calcul de ces coefficients</w:t>
      </w:r>
      <w:r w:rsidR="00C648BC">
        <w:t xml:space="preserve">. </w:t>
      </w:r>
      <w:r w:rsidR="00C648BC">
        <w:t>Une température</w:t>
      </w:r>
      <w:r w:rsidR="003110A1">
        <w:t xml:space="preserve"> de 55°C</w:t>
      </w:r>
      <w:r w:rsidR="00C648BC">
        <w:t xml:space="preserve"> imposée au rotor et une paroi adiabatique sont utilisées comme les conditions aux limites thermiques pour résoudre l’équation de l’énergie</w:t>
      </w:r>
      <w:r w:rsidR="00A56D8C">
        <w:t>.</w:t>
      </w:r>
      <w:r w:rsidR="00447B20">
        <w:t xml:space="preserve"> Le</w:t>
      </w:r>
      <w:r w:rsidR="00D07EDB">
        <w:t>s</w:t>
      </w:r>
      <w:r w:rsidR="00447B20">
        <w:t xml:space="preserve"> résultat</w:t>
      </w:r>
      <w:r w:rsidR="00D07EDB">
        <w:t>s</w:t>
      </w:r>
      <w:r w:rsidR="00447B20">
        <w:t xml:space="preserve"> de cette analyse sont </w:t>
      </w:r>
      <w:r w:rsidR="002F4B1C">
        <w:t>illustrés</w:t>
      </w:r>
      <w:r w:rsidR="00447B20">
        <w:t xml:space="preserve"> dans la </w:t>
      </w:r>
      <w:r w:rsidR="00447B20">
        <w:fldChar w:fldCharType="begin"/>
      </w:r>
      <w:r w:rsidR="00447B20">
        <w:instrText xml:space="preserve"> REF _Ref530417483 \h </w:instrText>
      </w:r>
      <w:r w:rsidR="00447B20">
        <w:fldChar w:fldCharType="separate"/>
      </w:r>
      <w:r w:rsidR="00447B20" w:rsidRPr="006564D8">
        <w:rPr>
          <w:i/>
          <w:iCs/>
        </w:rPr>
        <w:t>Figure 5</w:t>
      </w:r>
      <w:r w:rsidR="00447B20">
        <w:fldChar w:fldCharType="end"/>
      </w:r>
      <w:r w:rsidR="00447B20">
        <w:t>.</w:t>
      </w:r>
    </w:p>
    <w:p w14:paraId="1AA72B6C" w14:textId="1A397DF7" w:rsidR="008E61D2" w:rsidRDefault="00447B20" w:rsidP="008E61D2">
      <w:pPr>
        <w:pStyle w:val="Default"/>
        <w:spacing w:line="360" w:lineRule="auto"/>
        <w:jc w:val="both"/>
      </w:pPr>
      <w:r>
        <w:t xml:space="preserve">Selon les résultats, le rotor creux testé </w:t>
      </w:r>
      <w:r>
        <w:t>se comporte principalement le mode rigide dans la plage de</w:t>
      </w:r>
      <w:r w:rsidR="00D07EDB">
        <w:t>s</w:t>
      </w:r>
      <w:r>
        <w:t xml:space="preserve"> vitesse</w:t>
      </w:r>
      <w:r w:rsidR="00D07EDB">
        <w:t>s</w:t>
      </w:r>
      <w:r>
        <w:t xml:space="preserve"> calculée</w:t>
      </w:r>
      <w:r w:rsidR="00D07EDB">
        <w:t>s</w:t>
      </w:r>
      <w:r>
        <w:t xml:space="preserve">, car </w:t>
      </w:r>
      <w:r>
        <w:t>la fréquence de son premier mode de flexion est d'environ 600 Hz.</w:t>
      </w:r>
      <w:r w:rsidR="00D07EDB">
        <w:t xml:space="preserve"> </w:t>
      </w:r>
      <w:r w:rsidR="00D07EDB">
        <w:t>Ce résultat justifie l’utilisation possible d’un rotor à 4 degré de liberté pour modéliser son comportement dans la plage des vitesses de fonctionnement.</w:t>
      </w:r>
      <w:r w:rsidR="006B27CE">
        <w:t xml:space="preserve"> </w:t>
      </w:r>
      <w:r w:rsidR="006B27CE">
        <w:t>En outre, cette analyse prédit un changement de signe du facteur d’amortissement vers 3000 tr/min. Ce changement implique que le rotor se comporte de manière instable vers cette vitesse calculée. Ce comportement instable a été observé comme la vibration sous-synchrone pendant l’essai.</w:t>
      </w:r>
      <w:r w:rsidR="006B27CE" w:rsidRPr="006B27CE">
        <w:t xml:space="preserve"> </w:t>
      </w:r>
      <w:r w:rsidR="006B27CE">
        <w:t xml:space="preserve">Malgré cette instabilité identifiée par </w:t>
      </w:r>
      <w:r w:rsidR="006B27CE" w:rsidRPr="006233D3">
        <w:t>l'analyse modale</w:t>
      </w:r>
      <w:r w:rsidR="006B27CE">
        <w:t xml:space="preserve"> </w:t>
      </w:r>
      <w:r w:rsidR="006B27CE" w:rsidRPr="006233D3">
        <w:t xml:space="preserve">basée sur les caractéristiques </w:t>
      </w:r>
      <w:r w:rsidR="006B27CE" w:rsidRPr="006233D3">
        <w:lastRenderedPageBreak/>
        <w:t xml:space="preserve">dynamiques linéaires du </w:t>
      </w:r>
      <w:r w:rsidR="006B27CE">
        <w:t>palier, la stabilisation du banc peut être retrouvée s</w:t>
      </w:r>
      <w:r w:rsidR="006B27CE" w:rsidRPr="006233D3">
        <w:t xml:space="preserve">i le </w:t>
      </w:r>
      <w:r w:rsidR="006B27CE">
        <w:t>balourd</w:t>
      </w:r>
      <w:r w:rsidR="006B27CE" w:rsidRPr="006233D3">
        <w:t xml:space="preserve"> est</w:t>
      </w:r>
      <w:r w:rsidR="006B27CE">
        <w:t xml:space="preserve"> assez</w:t>
      </w:r>
      <w:r w:rsidR="006B27CE" w:rsidRPr="006233D3">
        <w:t xml:space="preserve"> important</w:t>
      </w:r>
      <w:r w:rsidR="006B27CE">
        <w:t xml:space="preserve"> et </w:t>
      </w:r>
      <w:r w:rsidR="006B27CE" w:rsidRPr="006233D3">
        <w:t>les amplitudes de vibration seront élevées</w:t>
      </w:r>
      <w:r w:rsidR="006B27CE">
        <w:t>.</w:t>
      </w:r>
      <w:r w:rsidR="008E61D2">
        <w:t xml:space="preserve"> </w:t>
      </w:r>
      <w:r w:rsidR="008E61D2">
        <w:t>Dans ce cas, le résultat de stabilité sera différent de ceux présenté dans</w:t>
      </w:r>
      <w:r w:rsidR="008E61D2" w:rsidRPr="006233D3">
        <w:t xml:space="preserve"> la </w:t>
      </w:r>
      <w:r w:rsidR="008E61D2">
        <w:fldChar w:fldCharType="begin"/>
      </w:r>
      <w:r w:rsidR="008E61D2">
        <w:instrText xml:space="preserve"> REF _Ref530417483 \h </w:instrText>
      </w:r>
      <w:r w:rsidR="008E61D2">
        <w:fldChar w:fldCharType="separate"/>
      </w:r>
      <w:r w:rsidR="008E61D2" w:rsidRPr="006564D8">
        <w:rPr>
          <w:i/>
          <w:iCs/>
        </w:rPr>
        <w:t>Figure 5</w:t>
      </w:r>
      <w:r w:rsidR="008E61D2">
        <w:fldChar w:fldCharType="end"/>
      </w:r>
      <w:r w:rsidR="008E61D2" w:rsidRPr="006233D3">
        <w:t>.</w:t>
      </w:r>
      <w:r w:rsidR="008E61D2">
        <w:t xml:space="preserve"> Cette stabilisation a été retrouvée pendant l’essai avec un grand balourd à la vitesse autours de 7000 tr/min. C’est pour cette raison que les analyses de l’effet Morton dans la suite sont faite avec un grand balourd proche de la vitesse 7000 tr/min.</w:t>
      </w:r>
      <w:r w:rsidR="008E61D2">
        <w:t xml:space="preserve"> </w:t>
      </w:r>
      <w:bookmarkStart w:id="5" w:name="_GoBack"/>
      <w:bookmarkEnd w:id="5"/>
    </w:p>
    <w:p w14:paraId="3D2E3BA7" w14:textId="20DB5DB8" w:rsidR="00447B20" w:rsidRDefault="00447B20" w:rsidP="00F23F55">
      <w:pPr>
        <w:pStyle w:val="Default"/>
        <w:spacing w:line="360" w:lineRule="auto"/>
        <w:jc w:val="both"/>
      </w:pPr>
    </w:p>
    <w:p w14:paraId="77A5F131" w14:textId="77777777" w:rsidR="00C648BC" w:rsidRDefault="00C648BC" w:rsidP="00F23F55">
      <w:pPr>
        <w:pStyle w:val="Default"/>
        <w:spacing w:line="360" w:lineRule="auto"/>
        <w:jc w:val="both"/>
      </w:pPr>
    </w:p>
    <w:p w14:paraId="3422CC21" w14:textId="77777777" w:rsidR="00C648BC" w:rsidRDefault="00C648BC" w:rsidP="00F23F55">
      <w:pPr>
        <w:pStyle w:val="Default"/>
        <w:spacing w:line="360" w:lineRule="auto"/>
        <w:jc w:val="both"/>
      </w:pPr>
    </w:p>
    <w:p w14:paraId="35FDD40C" w14:textId="77777777" w:rsidR="00C648BC" w:rsidRDefault="00C648BC" w:rsidP="00F23F55">
      <w:pPr>
        <w:pStyle w:val="Default"/>
        <w:spacing w:line="360" w:lineRule="auto"/>
        <w:jc w:val="both"/>
      </w:pPr>
    </w:p>
    <w:p w14:paraId="6DE7AD3D" w14:textId="0C2ACCF1" w:rsidR="00337771" w:rsidRDefault="00F23F55" w:rsidP="00F23F55">
      <w:pPr>
        <w:pStyle w:val="Default"/>
        <w:spacing w:line="360" w:lineRule="auto"/>
        <w:jc w:val="both"/>
      </w:pPr>
      <w:r>
        <w:t>Le rotor</w:t>
      </w:r>
      <w:r w:rsidR="004D13BB">
        <w:t xml:space="preserve"> court</w:t>
      </w:r>
      <w:r>
        <w:t xml:space="preserve"> assemblé pèse 2,8 kg</w:t>
      </w:r>
      <w:r w:rsidR="006C75E1">
        <w:t xml:space="preserve">. Le calcul statique du banc </w:t>
      </w:r>
      <w:r w:rsidR="00163CFE">
        <w:t>prédit</w:t>
      </w:r>
      <w:r>
        <w:t xml:space="preserve"> </w:t>
      </w:r>
      <w:r w:rsidR="00B31047">
        <w:t xml:space="preserve">une faible charge statique </w:t>
      </w:r>
      <w:r>
        <w:t xml:space="preserve">(25 N) </w:t>
      </w:r>
      <w:r w:rsidR="006C75E1">
        <w:t xml:space="preserve">appliquée </w:t>
      </w:r>
      <w:r>
        <w:t xml:space="preserve">sur le </w:t>
      </w:r>
      <w:r w:rsidR="007A4032">
        <w:t xml:space="preserve">palier </w:t>
      </w:r>
      <w:r w:rsidR="00D24724">
        <w:t>hydrodynamique</w:t>
      </w:r>
      <w:r>
        <w:t xml:space="preserve">. </w:t>
      </w:r>
      <w:r w:rsidR="002D2731">
        <w:t xml:space="preserve">Une température imposée au rotor à 55°C et une paroi adiabatique sont utilisées comme les conditions aux limites thermiques </w:t>
      </w:r>
      <w:r w:rsidR="007F60AD">
        <w:t>pour résoudre</w:t>
      </w:r>
      <w:r w:rsidR="002D2731">
        <w:t xml:space="preserve"> l’équation de l’énergie afin de prendre en compte l’effet thermique dans le palier. </w:t>
      </w:r>
      <w:r w:rsidR="007F70E9">
        <w:t>Les calculs à charge imposé au palier sont réalisés avec les vitesses de rotation différentes</w:t>
      </w:r>
      <w:r w:rsidR="001D7A8F">
        <w:t xml:space="preserve">. </w:t>
      </w:r>
      <w:r w:rsidR="00FB2FB5">
        <w:t>A l’issu des calculs, l</w:t>
      </w:r>
      <w:r w:rsidR="001D7A8F">
        <w:t xml:space="preserve">es positions d’équilibre statiques obtenues </w:t>
      </w:r>
      <w:r w:rsidR="00FB2FB5">
        <w:t>(</w:t>
      </w:r>
      <w:r w:rsidR="00FB2FB5">
        <w:fldChar w:fldCharType="begin"/>
      </w:r>
      <w:r w:rsidR="00FB2FB5">
        <w:instrText xml:space="preserve"> REF _Ref530417410 \h </w:instrText>
      </w:r>
      <w:r w:rsidR="00FB2FB5">
        <w:fldChar w:fldCharType="separate"/>
      </w:r>
      <w:r w:rsidR="00FB2FB5" w:rsidRPr="0038599C">
        <w:rPr>
          <w:i/>
          <w:iCs/>
        </w:rPr>
        <w:t xml:space="preserve">Figure </w:t>
      </w:r>
      <w:r w:rsidR="00FB2FB5">
        <w:rPr>
          <w:i/>
          <w:iCs/>
          <w:noProof/>
        </w:rPr>
        <w:t>4</w:t>
      </w:r>
      <w:r w:rsidR="00FB2FB5">
        <w:fldChar w:fldCharType="end"/>
      </w:r>
      <w:r w:rsidR="00FB2FB5">
        <w:t xml:space="preserve">) </w:t>
      </w:r>
      <w:r w:rsidR="001D7A8F">
        <w:t>permettent de calculer l</w:t>
      </w:r>
      <w:r w:rsidR="00D20F0D">
        <w:t xml:space="preserve">es coefficients dynamiques </w:t>
      </w:r>
      <w:r w:rsidR="00AD50A0">
        <w:t>non-isothermes (</w:t>
      </w:r>
      <w:r w:rsidR="00AD50A0">
        <w:fldChar w:fldCharType="begin"/>
      </w:r>
      <w:r w:rsidR="00AD50A0">
        <w:instrText xml:space="preserve"> REF _Ref530417381 \h </w:instrText>
      </w:r>
      <w:r w:rsidR="00AD50A0">
        <w:fldChar w:fldCharType="separate"/>
      </w:r>
      <w:r w:rsidR="00AD50A0" w:rsidRPr="00686D71">
        <w:rPr>
          <w:i/>
          <w:iCs/>
        </w:rPr>
        <w:t>Figure</w:t>
      </w:r>
      <w:r w:rsidR="00AD50A0">
        <w:rPr>
          <w:i/>
          <w:iCs/>
        </w:rPr>
        <w:t>s</w:t>
      </w:r>
      <w:r w:rsidR="00AD50A0" w:rsidRPr="00686D71">
        <w:rPr>
          <w:i/>
          <w:iCs/>
        </w:rPr>
        <w:t xml:space="preserve"> </w:t>
      </w:r>
      <w:r w:rsidR="00AD50A0">
        <w:rPr>
          <w:i/>
          <w:iCs/>
          <w:noProof/>
        </w:rPr>
        <w:t>2</w:t>
      </w:r>
      <w:r w:rsidR="00AD50A0">
        <w:fldChar w:fldCharType="end"/>
      </w:r>
      <w:r w:rsidR="00AD50A0">
        <w:fldChar w:fldCharType="begin"/>
      </w:r>
      <w:r w:rsidR="00AD50A0">
        <w:instrText xml:space="preserve"> REF _Ref530417384 \h </w:instrText>
      </w:r>
      <w:r w:rsidR="00AD50A0">
        <w:fldChar w:fldCharType="separate"/>
      </w:r>
      <w:r w:rsidR="00AD50A0">
        <w:rPr>
          <w:i/>
          <w:iCs/>
        </w:rPr>
        <w:t xml:space="preserve"> et </w:t>
      </w:r>
      <w:r w:rsidR="00AD50A0">
        <w:rPr>
          <w:i/>
          <w:iCs/>
          <w:noProof/>
        </w:rPr>
        <w:t>3</w:t>
      </w:r>
      <w:r w:rsidR="00AD50A0">
        <w:fldChar w:fldCharType="end"/>
      </w:r>
      <w:r w:rsidR="00AD50A0">
        <w:t>)</w:t>
      </w:r>
      <w:r w:rsidR="001D7A8F">
        <w:t xml:space="preserve"> du palier.</w:t>
      </w:r>
      <w:r w:rsidR="00AD50A0">
        <w:t xml:space="preserve"> </w:t>
      </w:r>
    </w:p>
    <w:p w14:paraId="0570165D" w14:textId="4A313A44" w:rsidR="007C73ED" w:rsidRDefault="00EA08ED" w:rsidP="00F23F55">
      <w:pPr>
        <w:pStyle w:val="Default"/>
        <w:spacing w:line="360" w:lineRule="auto"/>
        <w:jc w:val="both"/>
      </w:pPr>
      <w:r>
        <w:t xml:space="preserve">Selon les résultats présentés dans la </w:t>
      </w:r>
      <w:r>
        <w:fldChar w:fldCharType="begin"/>
      </w:r>
      <w:r>
        <w:instrText xml:space="preserve"> REF _Ref530417483 \h </w:instrText>
      </w:r>
      <w:r>
        <w:fldChar w:fldCharType="separate"/>
      </w:r>
      <w:r w:rsidRPr="006564D8">
        <w:rPr>
          <w:i/>
          <w:iCs/>
        </w:rPr>
        <w:t>Figure 5</w:t>
      </w:r>
      <w:r>
        <w:fldChar w:fldCharType="end"/>
      </w:r>
      <w:r>
        <w:t xml:space="preserve">, le rotor creux testé est très rigide et la fréquence de son premier mode de flexion est d'environ 600 Hz. </w:t>
      </w:r>
      <w:r w:rsidR="0026430D">
        <w:t>Ce résultat justifie l’utilisation</w:t>
      </w:r>
      <w:r w:rsidR="00E600DD">
        <w:t xml:space="preserve"> possible</w:t>
      </w:r>
      <w:r w:rsidR="0026430D">
        <w:t xml:space="preserve"> d</w:t>
      </w:r>
      <w:r w:rsidR="001A642A">
        <w:t>’</w:t>
      </w:r>
      <w:r w:rsidR="0026430D">
        <w:t>u</w:t>
      </w:r>
      <w:r w:rsidR="001A642A">
        <w:t>n</w:t>
      </w:r>
      <w:r w:rsidR="0026430D">
        <w:t xml:space="preserve"> rotor à 4 degré de liberté pour </w:t>
      </w:r>
      <w:r w:rsidR="00C01C1C">
        <w:t>modéliser</w:t>
      </w:r>
      <w:r w:rsidR="0026430D">
        <w:t xml:space="preserve"> son comportement</w:t>
      </w:r>
      <w:r w:rsidR="008E1663">
        <w:t xml:space="preserve"> dans la plage des vitesses de fonctionnement</w:t>
      </w:r>
      <w:r w:rsidR="0026430D">
        <w:t xml:space="preserve">. </w:t>
      </w:r>
      <w:r w:rsidR="00416A2B">
        <w:t xml:space="preserve">En outre, </w:t>
      </w:r>
      <w:r w:rsidR="00E1010F">
        <w:t>cette analyse</w:t>
      </w:r>
      <w:r w:rsidR="00416A2B">
        <w:t xml:space="preserve"> </w:t>
      </w:r>
      <w:r w:rsidR="000140F3">
        <w:t>prédit un changement de signe du facteur d’amortissement vers 3000 tr/min. Ce changement implique</w:t>
      </w:r>
      <w:r w:rsidR="00C22F7E">
        <w:t xml:space="preserve"> que </w:t>
      </w:r>
      <w:r w:rsidR="00C46C86">
        <w:t xml:space="preserve">le rotor </w:t>
      </w:r>
      <w:r w:rsidR="00DA3ECB">
        <w:t xml:space="preserve">se comporte de manière instable </w:t>
      </w:r>
      <w:r w:rsidR="00B239CF">
        <w:t>vers cette vitesse calculée. Ce comportement instable a été observé et identifié comme la vibration sous-synchrone pendant l’essai.</w:t>
      </w:r>
      <w:r w:rsidR="00FA0804">
        <w:t xml:space="preserve"> </w:t>
      </w:r>
      <w:r w:rsidR="00B95BF6">
        <w:t xml:space="preserve">Malgré cette instabilité identifiée par </w:t>
      </w:r>
      <w:r w:rsidR="00B95BF6" w:rsidRPr="006233D3">
        <w:t>l'analyse modale</w:t>
      </w:r>
      <w:r w:rsidR="00B95BF6">
        <w:t xml:space="preserve"> </w:t>
      </w:r>
      <w:r w:rsidR="00B95BF6" w:rsidRPr="006233D3">
        <w:t xml:space="preserve">basée sur les caractéristiques dynamiques linéaires du </w:t>
      </w:r>
      <w:r w:rsidR="00B95BF6">
        <w:t xml:space="preserve">palier, </w:t>
      </w:r>
      <w:r w:rsidR="00FA0804">
        <w:t xml:space="preserve">la stabilisation du banc peut être retrouvée </w:t>
      </w:r>
      <w:r w:rsidR="00B95BF6">
        <w:t>s</w:t>
      </w:r>
      <w:r w:rsidR="006233D3" w:rsidRPr="006233D3">
        <w:t xml:space="preserve">i le </w:t>
      </w:r>
      <w:r w:rsidR="006233D3">
        <w:t>balourd</w:t>
      </w:r>
      <w:r w:rsidR="006233D3" w:rsidRPr="006233D3">
        <w:t xml:space="preserve"> est</w:t>
      </w:r>
      <w:r w:rsidR="00FA0804">
        <w:t xml:space="preserve"> assez</w:t>
      </w:r>
      <w:r w:rsidR="006233D3" w:rsidRPr="006233D3">
        <w:t xml:space="preserve"> important</w:t>
      </w:r>
      <w:r w:rsidR="00FA0804">
        <w:t xml:space="preserve"> et </w:t>
      </w:r>
      <w:r w:rsidR="00FA0804" w:rsidRPr="006233D3">
        <w:t>les amplitudes de vibration seront élevées</w:t>
      </w:r>
      <w:r w:rsidR="00FA0804">
        <w:t>.</w:t>
      </w:r>
      <w:r w:rsidR="006233D3" w:rsidRPr="006233D3">
        <w:t xml:space="preserve"> </w:t>
      </w:r>
      <w:r w:rsidR="00B907DA">
        <w:t>Dans ce cas</w:t>
      </w:r>
      <w:r w:rsidR="00FA0804">
        <w:t>, le résultat de stabilité sera différent de ceux présenté dans</w:t>
      </w:r>
      <w:r w:rsidR="006233D3" w:rsidRPr="006233D3">
        <w:t xml:space="preserve"> la </w:t>
      </w:r>
      <w:r w:rsidR="006233D3">
        <w:fldChar w:fldCharType="begin"/>
      </w:r>
      <w:r w:rsidR="006233D3">
        <w:instrText xml:space="preserve"> REF _Ref530417483 \h </w:instrText>
      </w:r>
      <w:r w:rsidR="006233D3">
        <w:fldChar w:fldCharType="separate"/>
      </w:r>
      <w:r w:rsidR="006233D3" w:rsidRPr="006564D8">
        <w:rPr>
          <w:i/>
          <w:iCs/>
        </w:rPr>
        <w:t>Figure 5</w:t>
      </w:r>
      <w:r w:rsidR="006233D3">
        <w:fldChar w:fldCharType="end"/>
      </w:r>
      <w:r w:rsidR="006233D3" w:rsidRPr="006233D3">
        <w:t>.</w:t>
      </w:r>
      <w:r w:rsidR="00A52928">
        <w:t xml:space="preserve"> </w:t>
      </w:r>
      <w:r w:rsidR="00C01C1C">
        <w:t>Cette</w:t>
      </w:r>
      <w:r w:rsidR="00A52928">
        <w:t xml:space="preserve"> stabilisation a été </w:t>
      </w:r>
      <w:r w:rsidR="00B95BF6">
        <w:t>retrouvée</w:t>
      </w:r>
      <w:r w:rsidR="00A52928">
        <w:t xml:space="preserve"> </w:t>
      </w:r>
      <w:r w:rsidR="00C01C1C">
        <w:t>pendant l’essai</w:t>
      </w:r>
      <w:r w:rsidR="00A52928">
        <w:t xml:space="preserve"> avec </w:t>
      </w:r>
      <w:r w:rsidR="00C01C1C">
        <w:t>un</w:t>
      </w:r>
      <w:r w:rsidR="00A52928">
        <w:t xml:space="preserve"> grand balourd à la vitesse autours de 7000 tr/min. </w:t>
      </w:r>
      <w:r w:rsidR="00703BEC">
        <w:t xml:space="preserve">C’est pour cette raison que les analyses de l’effet Morton </w:t>
      </w:r>
      <w:r w:rsidR="00C01C1C">
        <w:t>dans la suite sont faite avec un</w:t>
      </w:r>
      <w:r w:rsidR="00703BEC">
        <w:t xml:space="preserve"> grand balourd proche de la vitesse 7000 tr/min.</w:t>
      </w:r>
    </w:p>
    <w:p w14:paraId="496AC675" w14:textId="77777777" w:rsidR="007C73ED" w:rsidRDefault="007C73ED" w:rsidP="007C73ED">
      <w:pPr>
        <w:pStyle w:val="Default"/>
        <w:keepNext/>
        <w:spacing w:line="360" w:lineRule="auto"/>
        <w:jc w:val="center"/>
      </w:pPr>
      <w:r>
        <w:rPr>
          <w:noProof/>
        </w:rPr>
        <w:lastRenderedPageBreak/>
        <w:drawing>
          <wp:inline distT="0" distB="0" distL="0" distR="0" wp14:anchorId="4106ABBD" wp14:editId="1DEC5B20">
            <wp:extent cx="3776400" cy="252000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6400" cy="2520000"/>
                    </a:xfrm>
                    <a:prstGeom prst="rect">
                      <a:avLst/>
                    </a:prstGeom>
                    <a:noFill/>
                  </pic:spPr>
                </pic:pic>
              </a:graphicData>
            </a:graphic>
          </wp:inline>
        </w:drawing>
      </w:r>
    </w:p>
    <w:p w14:paraId="14EBFE1A" w14:textId="3FAD112A" w:rsidR="00EF4712" w:rsidRPr="00686D71" w:rsidRDefault="007C73ED" w:rsidP="007C73ED">
      <w:pPr>
        <w:pStyle w:val="Lgende"/>
        <w:jc w:val="center"/>
        <w:rPr>
          <w:rFonts w:ascii="Calibri" w:hAnsi="Calibri" w:cs="Calibri"/>
          <w:i w:val="0"/>
          <w:iCs w:val="0"/>
          <w:color w:val="000000"/>
          <w:sz w:val="24"/>
          <w:szCs w:val="24"/>
        </w:rPr>
      </w:pPr>
      <w:bookmarkStart w:id="6" w:name="_Ref530417381"/>
      <w:r w:rsidRPr="00686D71">
        <w:rPr>
          <w:rFonts w:ascii="Calibri" w:hAnsi="Calibri" w:cs="Calibri"/>
          <w:i w:val="0"/>
          <w:iCs w:val="0"/>
          <w:color w:val="000000"/>
          <w:sz w:val="24"/>
          <w:szCs w:val="24"/>
        </w:rPr>
        <w:t xml:space="preserve">Figure </w:t>
      </w:r>
      <w:r w:rsidRPr="00686D71">
        <w:rPr>
          <w:rFonts w:ascii="Calibri" w:hAnsi="Calibri" w:cs="Calibri"/>
          <w:i w:val="0"/>
          <w:iCs w:val="0"/>
          <w:color w:val="000000"/>
          <w:sz w:val="24"/>
          <w:szCs w:val="24"/>
        </w:rPr>
        <w:fldChar w:fldCharType="begin"/>
      </w:r>
      <w:r w:rsidRPr="00686D71">
        <w:rPr>
          <w:rFonts w:ascii="Calibri" w:hAnsi="Calibri" w:cs="Calibri"/>
          <w:i w:val="0"/>
          <w:iCs w:val="0"/>
          <w:color w:val="000000"/>
          <w:sz w:val="24"/>
          <w:szCs w:val="24"/>
        </w:rPr>
        <w:instrText xml:space="preserve"> SEQ Figure \* ARABIC </w:instrText>
      </w:r>
      <w:r w:rsidRPr="00686D71">
        <w:rPr>
          <w:rFonts w:ascii="Calibri" w:hAnsi="Calibri" w:cs="Calibri"/>
          <w:i w:val="0"/>
          <w:iCs w:val="0"/>
          <w:color w:val="000000"/>
          <w:sz w:val="24"/>
          <w:szCs w:val="24"/>
        </w:rPr>
        <w:fldChar w:fldCharType="separate"/>
      </w:r>
      <w:r w:rsidR="006564D8">
        <w:rPr>
          <w:rFonts w:ascii="Calibri" w:hAnsi="Calibri" w:cs="Calibri"/>
          <w:i w:val="0"/>
          <w:iCs w:val="0"/>
          <w:noProof/>
          <w:color w:val="000000"/>
          <w:sz w:val="24"/>
          <w:szCs w:val="24"/>
        </w:rPr>
        <w:t>2</w:t>
      </w:r>
      <w:r w:rsidRPr="00686D71">
        <w:rPr>
          <w:rFonts w:ascii="Calibri" w:hAnsi="Calibri" w:cs="Calibri"/>
          <w:i w:val="0"/>
          <w:iCs w:val="0"/>
          <w:color w:val="000000"/>
          <w:sz w:val="24"/>
          <w:szCs w:val="24"/>
        </w:rPr>
        <w:fldChar w:fldCharType="end"/>
      </w:r>
      <w:bookmarkEnd w:id="6"/>
      <w:r w:rsidRPr="00686D71">
        <w:rPr>
          <w:rFonts w:ascii="Calibri" w:hAnsi="Calibri" w:cs="Calibri"/>
          <w:i w:val="0"/>
          <w:iCs w:val="0"/>
          <w:color w:val="000000"/>
          <w:sz w:val="24"/>
          <w:szCs w:val="24"/>
        </w:rPr>
        <w:t> :</w:t>
      </w:r>
      <w:r w:rsidR="00B67ECA" w:rsidRPr="00686D71">
        <w:rPr>
          <w:rFonts w:ascii="Calibri" w:hAnsi="Calibri" w:cs="Calibri"/>
          <w:i w:val="0"/>
          <w:iCs w:val="0"/>
          <w:color w:val="000000"/>
          <w:sz w:val="24"/>
          <w:szCs w:val="24"/>
        </w:rPr>
        <w:t xml:space="preserve"> Coefficients de raideur du palier </w:t>
      </w:r>
      <w:r w:rsidR="000906D5" w:rsidRPr="00686D71">
        <w:rPr>
          <w:rFonts w:ascii="Calibri" w:hAnsi="Calibri" w:cs="Calibri"/>
          <w:i w:val="0"/>
          <w:iCs w:val="0"/>
          <w:color w:val="000000"/>
          <w:sz w:val="24"/>
          <w:szCs w:val="24"/>
        </w:rPr>
        <w:t>utilisé aux vitesses différentes</w:t>
      </w:r>
    </w:p>
    <w:p w14:paraId="59245698" w14:textId="77777777" w:rsidR="007C73ED" w:rsidRDefault="007C73ED" w:rsidP="007C73ED">
      <w:pPr>
        <w:pStyle w:val="Default"/>
        <w:keepNext/>
        <w:spacing w:line="360" w:lineRule="auto"/>
        <w:jc w:val="center"/>
      </w:pPr>
      <w:r>
        <w:rPr>
          <w:noProof/>
        </w:rPr>
        <w:drawing>
          <wp:inline distT="0" distB="0" distL="0" distR="0" wp14:anchorId="49B03A5E" wp14:editId="0F7098F8">
            <wp:extent cx="3776400" cy="252000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6400" cy="2520000"/>
                    </a:xfrm>
                    <a:prstGeom prst="rect">
                      <a:avLst/>
                    </a:prstGeom>
                    <a:noFill/>
                  </pic:spPr>
                </pic:pic>
              </a:graphicData>
            </a:graphic>
          </wp:inline>
        </w:drawing>
      </w:r>
    </w:p>
    <w:p w14:paraId="38168FE1" w14:textId="5DD5B087" w:rsidR="007C73ED" w:rsidRPr="00686D71" w:rsidRDefault="007C73ED" w:rsidP="007C73ED">
      <w:pPr>
        <w:pStyle w:val="Lgende"/>
        <w:jc w:val="center"/>
        <w:rPr>
          <w:rFonts w:ascii="Calibri" w:hAnsi="Calibri" w:cs="Calibri"/>
          <w:i w:val="0"/>
          <w:iCs w:val="0"/>
          <w:color w:val="000000"/>
          <w:sz w:val="24"/>
          <w:szCs w:val="24"/>
        </w:rPr>
      </w:pPr>
      <w:bookmarkStart w:id="7" w:name="_Ref530417384"/>
      <w:r w:rsidRPr="00686D71">
        <w:rPr>
          <w:rFonts w:ascii="Calibri" w:hAnsi="Calibri" w:cs="Calibri"/>
          <w:i w:val="0"/>
          <w:iCs w:val="0"/>
          <w:color w:val="000000"/>
          <w:sz w:val="24"/>
          <w:szCs w:val="24"/>
        </w:rPr>
        <w:t xml:space="preserve">Figure </w:t>
      </w:r>
      <w:r w:rsidRPr="00686D71">
        <w:rPr>
          <w:rFonts w:ascii="Calibri" w:hAnsi="Calibri" w:cs="Calibri"/>
          <w:i w:val="0"/>
          <w:iCs w:val="0"/>
          <w:color w:val="000000"/>
          <w:sz w:val="24"/>
          <w:szCs w:val="24"/>
        </w:rPr>
        <w:fldChar w:fldCharType="begin"/>
      </w:r>
      <w:r w:rsidRPr="00686D71">
        <w:rPr>
          <w:rFonts w:ascii="Calibri" w:hAnsi="Calibri" w:cs="Calibri"/>
          <w:i w:val="0"/>
          <w:iCs w:val="0"/>
          <w:color w:val="000000"/>
          <w:sz w:val="24"/>
          <w:szCs w:val="24"/>
        </w:rPr>
        <w:instrText xml:space="preserve"> SEQ Figure \* ARABIC </w:instrText>
      </w:r>
      <w:r w:rsidRPr="00686D71">
        <w:rPr>
          <w:rFonts w:ascii="Calibri" w:hAnsi="Calibri" w:cs="Calibri"/>
          <w:i w:val="0"/>
          <w:iCs w:val="0"/>
          <w:color w:val="000000"/>
          <w:sz w:val="24"/>
          <w:szCs w:val="24"/>
        </w:rPr>
        <w:fldChar w:fldCharType="separate"/>
      </w:r>
      <w:r w:rsidR="006564D8">
        <w:rPr>
          <w:rFonts w:ascii="Calibri" w:hAnsi="Calibri" w:cs="Calibri"/>
          <w:i w:val="0"/>
          <w:iCs w:val="0"/>
          <w:noProof/>
          <w:color w:val="000000"/>
          <w:sz w:val="24"/>
          <w:szCs w:val="24"/>
        </w:rPr>
        <w:t>3</w:t>
      </w:r>
      <w:r w:rsidRPr="00686D71">
        <w:rPr>
          <w:rFonts w:ascii="Calibri" w:hAnsi="Calibri" w:cs="Calibri"/>
          <w:i w:val="0"/>
          <w:iCs w:val="0"/>
          <w:color w:val="000000"/>
          <w:sz w:val="24"/>
          <w:szCs w:val="24"/>
        </w:rPr>
        <w:fldChar w:fldCharType="end"/>
      </w:r>
      <w:bookmarkEnd w:id="7"/>
      <w:r w:rsidR="000E5D54" w:rsidRPr="00686D71">
        <w:rPr>
          <w:rFonts w:ascii="Calibri" w:hAnsi="Calibri" w:cs="Calibri"/>
          <w:i w:val="0"/>
          <w:iCs w:val="0"/>
          <w:color w:val="000000"/>
          <w:sz w:val="24"/>
          <w:szCs w:val="24"/>
        </w:rPr>
        <w:t xml:space="preserve"> : coefficient d’amortissement du palier </w:t>
      </w:r>
      <w:r w:rsidR="00686D71">
        <w:rPr>
          <w:rFonts w:ascii="Calibri" w:hAnsi="Calibri" w:cs="Calibri"/>
          <w:i w:val="0"/>
          <w:iCs w:val="0"/>
          <w:color w:val="000000"/>
          <w:sz w:val="24"/>
          <w:szCs w:val="24"/>
        </w:rPr>
        <w:t xml:space="preserve">utilisé </w:t>
      </w:r>
      <w:r w:rsidR="00616612">
        <w:rPr>
          <w:rFonts w:ascii="Calibri" w:hAnsi="Calibri" w:cs="Calibri"/>
          <w:i w:val="0"/>
          <w:iCs w:val="0"/>
          <w:color w:val="000000"/>
          <w:sz w:val="24"/>
          <w:szCs w:val="24"/>
        </w:rPr>
        <w:t>aux vitesses différentes</w:t>
      </w:r>
    </w:p>
    <w:p w14:paraId="0EA9E46A" w14:textId="77777777" w:rsidR="007C73ED" w:rsidRDefault="00EF4712" w:rsidP="007C73ED">
      <w:pPr>
        <w:pStyle w:val="Default"/>
        <w:keepNext/>
        <w:spacing w:line="360" w:lineRule="auto"/>
        <w:jc w:val="center"/>
      </w:pPr>
      <w:r>
        <w:rPr>
          <w:noProof/>
        </w:rPr>
        <w:drawing>
          <wp:inline distT="0" distB="0" distL="0" distR="0" wp14:anchorId="5E18A7A9" wp14:editId="0D2D9633">
            <wp:extent cx="3960184" cy="2250104"/>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65998" cy="2253407"/>
                    </a:xfrm>
                    <a:prstGeom prst="rect">
                      <a:avLst/>
                    </a:prstGeom>
                    <a:noFill/>
                  </pic:spPr>
                </pic:pic>
              </a:graphicData>
            </a:graphic>
          </wp:inline>
        </w:drawing>
      </w:r>
    </w:p>
    <w:p w14:paraId="129FC758" w14:textId="52585397" w:rsidR="00F23F55" w:rsidRPr="0038599C" w:rsidRDefault="007C73ED" w:rsidP="007C73ED">
      <w:pPr>
        <w:pStyle w:val="Lgende"/>
        <w:jc w:val="center"/>
        <w:rPr>
          <w:rFonts w:ascii="Calibri" w:hAnsi="Calibri" w:cs="Calibri"/>
          <w:i w:val="0"/>
          <w:iCs w:val="0"/>
          <w:color w:val="000000"/>
          <w:sz w:val="24"/>
          <w:szCs w:val="24"/>
        </w:rPr>
      </w:pPr>
      <w:bookmarkStart w:id="8" w:name="_Ref530417410"/>
      <w:r w:rsidRPr="0038599C">
        <w:rPr>
          <w:rFonts w:ascii="Calibri" w:hAnsi="Calibri" w:cs="Calibri"/>
          <w:i w:val="0"/>
          <w:iCs w:val="0"/>
          <w:color w:val="000000"/>
          <w:sz w:val="24"/>
          <w:szCs w:val="24"/>
        </w:rPr>
        <w:t xml:space="preserve">Figure </w:t>
      </w:r>
      <w:r w:rsidRPr="0038599C">
        <w:rPr>
          <w:rFonts w:ascii="Calibri" w:hAnsi="Calibri" w:cs="Calibri"/>
          <w:i w:val="0"/>
          <w:iCs w:val="0"/>
          <w:color w:val="000000"/>
          <w:sz w:val="24"/>
          <w:szCs w:val="24"/>
        </w:rPr>
        <w:fldChar w:fldCharType="begin"/>
      </w:r>
      <w:r w:rsidRPr="0038599C">
        <w:rPr>
          <w:rFonts w:ascii="Calibri" w:hAnsi="Calibri" w:cs="Calibri"/>
          <w:i w:val="0"/>
          <w:iCs w:val="0"/>
          <w:color w:val="000000"/>
          <w:sz w:val="24"/>
          <w:szCs w:val="24"/>
        </w:rPr>
        <w:instrText xml:space="preserve"> SEQ Figure \* ARABIC </w:instrText>
      </w:r>
      <w:r w:rsidRPr="0038599C">
        <w:rPr>
          <w:rFonts w:ascii="Calibri" w:hAnsi="Calibri" w:cs="Calibri"/>
          <w:i w:val="0"/>
          <w:iCs w:val="0"/>
          <w:color w:val="000000"/>
          <w:sz w:val="24"/>
          <w:szCs w:val="24"/>
        </w:rPr>
        <w:fldChar w:fldCharType="separate"/>
      </w:r>
      <w:r w:rsidR="006564D8">
        <w:rPr>
          <w:rFonts w:ascii="Calibri" w:hAnsi="Calibri" w:cs="Calibri"/>
          <w:i w:val="0"/>
          <w:iCs w:val="0"/>
          <w:noProof/>
          <w:color w:val="000000"/>
          <w:sz w:val="24"/>
          <w:szCs w:val="24"/>
        </w:rPr>
        <w:t>4</w:t>
      </w:r>
      <w:r w:rsidRPr="0038599C">
        <w:rPr>
          <w:rFonts w:ascii="Calibri" w:hAnsi="Calibri" w:cs="Calibri"/>
          <w:i w:val="0"/>
          <w:iCs w:val="0"/>
          <w:color w:val="000000"/>
          <w:sz w:val="24"/>
          <w:szCs w:val="24"/>
        </w:rPr>
        <w:fldChar w:fldCharType="end"/>
      </w:r>
      <w:bookmarkEnd w:id="8"/>
      <w:r w:rsidR="00616612" w:rsidRPr="0038599C">
        <w:rPr>
          <w:rFonts w:ascii="Calibri" w:hAnsi="Calibri" w:cs="Calibri"/>
          <w:i w:val="0"/>
          <w:iCs w:val="0"/>
          <w:color w:val="000000"/>
          <w:sz w:val="24"/>
          <w:szCs w:val="24"/>
        </w:rPr>
        <w:t xml:space="preserve"> : position d’équilibre statique du rotor dans le palier </w:t>
      </w:r>
      <w:r w:rsidR="0038599C" w:rsidRPr="0038599C">
        <w:rPr>
          <w:rFonts w:ascii="Calibri" w:hAnsi="Calibri" w:cs="Calibri"/>
          <w:i w:val="0"/>
          <w:iCs w:val="0"/>
          <w:color w:val="000000"/>
          <w:sz w:val="24"/>
          <w:szCs w:val="24"/>
        </w:rPr>
        <w:t>aux vitesses différentes</w:t>
      </w:r>
    </w:p>
    <w:p w14:paraId="46D3EF1C" w14:textId="141FC101" w:rsidR="00EF4712" w:rsidRDefault="006564D8" w:rsidP="00CF4A33">
      <w:pPr>
        <w:pStyle w:val="Default"/>
        <w:jc w:val="center"/>
      </w:pPr>
      <w:r w:rsidRPr="006564D8">
        <w:rPr>
          <w:noProof/>
        </w:rPr>
        <w:lastRenderedPageBreak/>
        <w:drawing>
          <wp:inline distT="0" distB="0" distL="0" distR="0" wp14:anchorId="213BF1BF" wp14:editId="16060DD0">
            <wp:extent cx="5044449" cy="2520000"/>
            <wp:effectExtent l="0" t="0" r="3810" b="0"/>
            <wp:docPr id="40"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39"/>
                    <pic:cNvPicPr>
                      <a:picLocks noChangeAspect="1"/>
                    </pic:cNvPicPr>
                  </pic:nvPicPr>
                  <pic:blipFill>
                    <a:blip r:embed="rId14"/>
                    <a:stretch>
                      <a:fillRect/>
                    </a:stretch>
                  </pic:blipFill>
                  <pic:spPr>
                    <a:xfrm>
                      <a:off x="0" y="0"/>
                      <a:ext cx="5044449" cy="2520000"/>
                    </a:xfrm>
                    <a:prstGeom prst="rect">
                      <a:avLst/>
                    </a:prstGeom>
                  </pic:spPr>
                </pic:pic>
              </a:graphicData>
            </a:graphic>
          </wp:inline>
        </w:drawing>
      </w:r>
    </w:p>
    <w:p w14:paraId="55D58505" w14:textId="62A2DC87" w:rsidR="006564D8" w:rsidRDefault="006564D8" w:rsidP="00CF4A33">
      <w:pPr>
        <w:pStyle w:val="Default"/>
        <w:jc w:val="center"/>
      </w:pPr>
      <w:r>
        <w:t>(a)</w:t>
      </w:r>
    </w:p>
    <w:p w14:paraId="31C82214" w14:textId="77777777" w:rsidR="006564D8" w:rsidRDefault="006564D8" w:rsidP="00CF4A33">
      <w:pPr>
        <w:pStyle w:val="Default"/>
        <w:keepNext/>
        <w:jc w:val="center"/>
      </w:pPr>
      <w:r w:rsidRPr="006564D8">
        <w:rPr>
          <w:noProof/>
        </w:rPr>
        <w:drawing>
          <wp:inline distT="0" distB="0" distL="0" distR="0" wp14:anchorId="74F2A341" wp14:editId="73C4BA0B">
            <wp:extent cx="5032234" cy="2520000"/>
            <wp:effectExtent l="0" t="0" r="0" b="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a:blip r:embed="rId15"/>
                    <a:stretch>
                      <a:fillRect/>
                    </a:stretch>
                  </pic:blipFill>
                  <pic:spPr>
                    <a:xfrm>
                      <a:off x="0" y="0"/>
                      <a:ext cx="5032234" cy="2520000"/>
                    </a:xfrm>
                    <a:prstGeom prst="rect">
                      <a:avLst/>
                    </a:prstGeom>
                  </pic:spPr>
                </pic:pic>
              </a:graphicData>
            </a:graphic>
          </wp:inline>
        </w:drawing>
      </w:r>
    </w:p>
    <w:p w14:paraId="1CF3254D" w14:textId="619D5A1A" w:rsidR="006564D8" w:rsidRDefault="006564D8" w:rsidP="00CF4A33">
      <w:pPr>
        <w:pStyle w:val="Default"/>
        <w:jc w:val="center"/>
      </w:pPr>
      <w:r>
        <w:t xml:space="preserve"> (b)</w:t>
      </w:r>
    </w:p>
    <w:p w14:paraId="5AABD289" w14:textId="5B323BA9" w:rsidR="006564D8" w:rsidRPr="006564D8" w:rsidRDefault="006564D8" w:rsidP="00CF4A33">
      <w:pPr>
        <w:pStyle w:val="Lgende"/>
        <w:spacing w:after="0"/>
        <w:jc w:val="center"/>
        <w:rPr>
          <w:rFonts w:ascii="Calibri" w:hAnsi="Calibri" w:cs="Calibri"/>
          <w:i w:val="0"/>
          <w:iCs w:val="0"/>
          <w:color w:val="000000"/>
          <w:sz w:val="24"/>
          <w:szCs w:val="24"/>
        </w:rPr>
      </w:pPr>
      <w:bookmarkStart w:id="9" w:name="_Ref530417483"/>
      <w:r w:rsidRPr="006564D8">
        <w:rPr>
          <w:rFonts w:ascii="Calibri" w:hAnsi="Calibri" w:cs="Calibri"/>
          <w:i w:val="0"/>
          <w:iCs w:val="0"/>
          <w:color w:val="000000"/>
          <w:sz w:val="24"/>
          <w:szCs w:val="24"/>
        </w:rPr>
        <w:t xml:space="preserve">Figure </w:t>
      </w:r>
      <w:r w:rsidRPr="006564D8">
        <w:rPr>
          <w:rFonts w:ascii="Calibri" w:hAnsi="Calibri" w:cs="Calibri"/>
          <w:i w:val="0"/>
          <w:iCs w:val="0"/>
          <w:color w:val="000000"/>
          <w:sz w:val="24"/>
          <w:szCs w:val="24"/>
        </w:rPr>
        <w:fldChar w:fldCharType="begin"/>
      </w:r>
      <w:r w:rsidRPr="006564D8">
        <w:rPr>
          <w:rFonts w:ascii="Calibri" w:hAnsi="Calibri" w:cs="Calibri"/>
          <w:i w:val="0"/>
          <w:iCs w:val="0"/>
          <w:color w:val="000000"/>
          <w:sz w:val="24"/>
          <w:szCs w:val="24"/>
        </w:rPr>
        <w:instrText xml:space="preserve"> SEQ Figure \* ARABIC </w:instrText>
      </w:r>
      <w:r w:rsidRPr="006564D8">
        <w:rPr>
          <w:rFonts w:ascii="Calibri" w:hAnsi="Calibri" w:cs="Calibri"/>
          <w:i w:val="0"/>
          <w:iCs w:val="0"/>
          <w:color w:val="000000"/>
          <w:sz w:val="24"/>
          <w:szCs w:val="24"/>
        </w:rPr>
        <w:fldChar w:fldCharType="separate"/>
      </w:r>
      <w:r w:rsidRPr="006564D8">
        <w:rPr>
          <w:rFonts w:ascii="Calibri" w:hAnsi="Calibri" w:cs="Calibri"/>
          <w:i w:val="0"/>
          <w:iCs w:val="0"/>
          <w:color w:val="000000"/>
          <w:sz w:val="24"/>
          <w:szCs w:val="24"/>
        </w:rPr>
        <w:t>5</w:t>
      </w:r>
      <w:r w:rsidRPr="006564D8">
        <w:rPr>
          <w:rFonts w:ascii="Calibri" w:hAnsi="Calibri" w:cs="Calibri"/>
          <w:i w:val="0"/>
          <w:iCs w:val="0"/>
          <w:color w:val="000000"/>
          <w:sz w:val="24"/>
          <w:szCs w:val="24"/>
        </w:rPr>
        <w:fldChar w:fldCharType="end"/>
      </w:r>
      <w:bookmarkEnd w:id="9"/>
      <w:r w:rsidRPr="006564D8">
        <w:rPr>
          <w:rFonts w:ascii="Calibri" w:hAnsi="Calibri" w:cs="Calibri"/>
          <w:i w:val="0"/>
          <w:iCs w:val="0"/>
          <w:color w:val="000000"/>
          <w:sz w:val="24"/>
          <w:szCs w:val="24"/>
        </w:rPr>
        <w:t> :</w:t>
      </w:r>
      <w:r w:rsidR="009F35A5">
        <w:rPr>
          <w:rFonts w:ascii="Calibri" w:hAnsi="Calibri" w:cs="Calibri"/>
          <w:i w:val="0"/>
          <w:iCs w:val="0"/>
          <w:color w:val="000000"/>
          <w:sz w:val="24"/>
          <w:szCs w:val="24"/>
        </w:rPr>
        <w:t xml:space="preserve"> Résultats de l’analyse modale de la configuration courte</w:t>
      </w:r>
      <w:r w:rsidR="00ED1EEF">
        <w:rPr>
          <w:rFonts w:ascii="Calibri" w:hAnsi="Calibri" w:cs="Calibri"/>
          <w:i w:val="0"/>
          <w:iCs w:val="0"/>
          <w:color w:val="000000"/>
          <w:sz w:val="24"/>
          <w:szCs w:val="24"/>
        </w:rPr>
        <w:t xml:space="preserve"> (430mm)</w:t>
      </w:r>
      <w:r w:rsidR="009F35A5">
        <w:rPr>
          <w:rFonts w:ascii="Calibri" w:hAnsi="Calibri" w:cs="Calibri"/>
          <w:i w:val="0"/>
          <w:iCs w:val="0"/>
          <w:color w:val="000000"/>
          <w:sz w:val="24"/>
          <w:szCs w:val="24"/>
        </w:rPr>
        <w:t xml:space="preserve"> du banc d’essais :</w:t>
      </w:r>
      <w:r w:rsidRPr="006564D8">
        <w:rPr>
          <w:rFonts w:ascii="Calibri" w:hAnsi="Calibri" w:cs="Calibri"/>
          <w:i w:val="0"/>
          <w:iCs w:val="0"/>
          <w:color w:val="000000"/>
          <w:sz w:val="24"/>
          <w:szCs w:val="24"/>
        </w:rPr>
        <w:t xml:space="preserve"> </w:t>
      </w:r>
      <w:r w:rsidR="009F35A5">
        <w:rPr>
          <w:rFonts w:ascii="Calibri" w:hAnsi="Calibri" w:cs="Calibri"/>
          <w:i w:val="0"/>
          <w:iCs w:val="0"/>
          <w:color w:val="000000"/>
          <w:sz w:val="24"/>
          <w:szCs w:val="24"/>
        </w:rPr>
        <w:t>(a) diagramme de Campbell et (b) diagramme de stabilité</w:t>
      </w:r>
    </w:p>
    <w:p w14:paraId="034FEF1D" w14:textId="77777777" w:rsidR="00EF4712" w:rsidRPr="00616612" w:rsidRDefault="00EF4712" w:rsidP="00A848FA">
      <w:pPr>
        <w:pStyle w:val="Default"/>
        <w:spacing w:line="360" w:lineRule="auto"/>
      </w:pPr>
    </w:p>
    <w:p w14:paraId="7F945B37" w14:textId="64C3F434" w:rsidR="00F22706" w:rsidRDefault="00F22706" w:rsidP="00F22706">
      <w:pPr>
        <w:pStyle w:val="Titre3"/>
      </w:pPr>
      <w:r>
        <w:t>Calculs des matrices A, B, C</w:t>
      </w:r>
      <w:r w:rsidR="00D22B4D">
        <w:t xml:space="preserve"> </w:t>
      </w:r>
    </w:p>
    <w:p w14:paraId="621BBEC9" w14:textId="77777777" w:rsidR="00C46DF0" w:rsidRDefault="00C46DF0" w:rsidP="00C46DF0">
      <w:pPr>
        <w:pStyle w:val="Default"/>
      </w:pPr>
    </w:p>
    <w:p w14:paraId="5D72FF28" w14:textId="66F41800" w:rsidR="00C46DF0" w:rsidRDefault="004617C5" w:rsidP="00ED07A0">
      <w:pPr>
        <w:pStyle w:val="Default"/>
        <w:jc w:val="both"/>
      </w:pPr>
      <w:r>
        <w:t>En basant sur la configuration présentée, les coefficients d’influence sont calculés</w:t>
      </w:r>
      <w:r w:rsidR="003B550D">
        <w:t xml:space="preserve"> avec les </w:t>
      </w:r>
      <w:r w:rsidR="005F25C0">
        <w:t>approches</w:t>
      </w:r>
      <w:r w:rsidR="003B550D">
        <w:t xml:space="preserve"> présentée</w:t>
      </w:r>
      <w:r w:rsidR="00B63CCC">
        <w:t>s</w:t>
      </w:r>
      <w:r>
        <w:t>.</w:t>
      </w:r>
      <w:r w:rsidR="003B550D">
        <w:t xml:space="preserve"> </w:t>
      </w:r>
      <w:r w:rsidR="00FB1479">
        <w:t xml:space="preserve"> </w:t>
      </w:r>
      <w:r w:rsidR="002C34BB">
        <w:t xml:space="preserve">Le </w:t>
      </w:r>
      <w:r w:rsidR="005F25C0">
        <w:t>c</w:t>
      </w:r>
      <w:r w:rsidR="002C34BB">
        <w:t xml:space="preserve">oefficient </w:t>
      </w:r>
      <m:oMath>
        <m:r>
          <m:rPr>
            <m:sty m:val="bi"/>
          </m:rPr>
          <w:rPr>
            <w:rFonts w:ascii="Cambria Math" w:hAnsi="Cambria Math"/>
          </w:rPr>
          <m:t>A</m:t>
        </m:r>
      </m:oMath>
      <w:r w:rsidR="002C34BB" w:rsidRPr="002C34BB">
        <w:t xml:space="preserve"> </w:t>
      </w:r>
      <w:r w:rsidR="002C34BB">
        <w:t xml:space="preserve">à une vitesse donnée est </w:t>
      </w:r>
      <w:r w:rsidR="005F25C0">
        <w:t>obtenu à l’issu du</w:t>
      </w:r>
      <w:r w:rsidR="002C34BB">
        <w:t xml:space="preserve"> calcul de la réponse au balourd. </w:t>
      </w:r>
      <w:r>
        <w:t xml:space="preserve"> </w:t>
      </w:r>
      <w:r w:rsidR="00924BBE">
        <w:t>Afin d’avoir une cohérence avec l’essai, le</w:t>
      </w:r>
      <w:r w:rsidR="00ED07A0">
        <w:t xml:space="preserve"> balourd de 102.6 g</w:t>
      </w:r>
      <w:r w:rsidR="00723F99">
        <w:t>.</w:t>
      </w:r>
      <w:r w:rsidR="00ED07A0">
        <w:t>mm avec une phase de 180°</w:t>
      </w:r>
      <w:r w:rsidR="00DE4D41">
        <w:t xml:space="preserve"> </w:t>
      </w:r>
      <w:r w:rsidR="00227034">
        <w:t xml:space="preserve">par rapport à l’axe </w:t>
      </w:r>
      <m:oMath>
        <m:r>
          <w:rPr>
            <w:rFonts w:ascii="Cambria Math" w:hAnsi="Cambria Math"/>
          </w:rPr>
          <m:t>r</m:t>
        </m:r>
      </m:oMath>
      <w:r w:rsidR="00227034">
        <w:t xml:space="preserve"> </w:t>
      </w:r>
      <w:r w:rsidR="00DE4D41">
        <w:t>du rotor</w:t>
      </w:r>
      <w:r w:rsidR="0019182B">
        <w:t xml:space="preserve"> </w:t>
      </w:r>
      <m:oMath>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&lt;r,t&gt;</m:t>
        </m:r>
      </m:oMath>
      <w:r w:rsidR="00ED07A0">
        <w:t xml:space="preserve"> </w:t>
      </w:r>
      <w:r w:rsidR="00924BBE">
        <w:t xml:space="preserve">est imposé. </w:t>
      </w:r>
      <w:r w:rsidR="00DE6793">
        <w:t xml:space="preserve">En utilisant les deux approches </w:t>
      </w:r>
    </w:p>
    <w:p w14:paraId="37F6F68B" w14:textId="77777777" w:rsidR="00DB67E9" w:rsidRDefault="00DB67E9" w:rsidP="00ED07A0">
      <w:pPr>
        <w:pStyle w:val="Default"/>
        <w:jc w:val="both"/>
      </w:pPr>
    </w:p>
    <w:p w14:paraId="2CD4F526" w14:textId="77777777" w:rsidR="00A650B3" w:rsidRDefault="00A650B3" w:rsidP="00C46DF0">
      <w:pPr>
        <w:pStyle w:val="Default"/>
      </w:pPr>
    </w:p>
    <w:p w14:paraId="1FB38F14" w14:textId="77777777" w:rsidR="00C46DF0" w:rsidRDefault="00C46DF0" w:rsidP="00C46DF0">
      <w:pPr>
        <w:pStyle w:val="Default"/>
      </w:pPr>
    </w:p>
    <w:p w14:paraId="4684BB2C" w14:textId="77777777" w:rsidR="00C46DF0" w:rsidRPr="00C46DF0" w:rsidRDefault="00C46DF0" w:rsidP="00C46DF0">
      <w:pPr>
        <w:pStyle w:val="Default"/>
      </w:pPr>
    </w:p>
    <w:p w14:paraId="413A8C76" w14:textId="6D463D8A" w:rsidR="007B41B8" w:rsidRDefault="007B41B8" w:rsidP="007B41B8">
      <w:pPr>
        <w:pStyle w:val="Titre3"/>
      </w:pPr>
      <w:r>
        <w:t>Résultat de l’analyse de l’effet Morton</w:t>
      </w:r>
    </w:p>
    <w:p w14:paraId="57C5147D" w14:textId="77777777" w:rsidR="00044D08" w:rsidRDefault="00044D08" w:rsidP="00044D08">
      <w:pPr>
        <w:pStyle w:val="Default"/>
      </w:pPr>
    </w:p>
    <w:p w14:paraId="4BF1D3F3" w14:textId="6FE79F22" w:rsidR="00F41CF0" w:rsidRDefault="009E7BE4" w:rsidP="00044D08">
      <w:pPr>
        <w:pStyle w:val="Default"/>
      </w:pPr>
      <w:r>
        <w:t>Résultats de l’approche Lorentz et Murphy</w:t>
      </w:r>
    </w:p>
    <w:p w14:paraId="59F6E622" w14:textId="755A74B0" w:rsidR="009E7BE4" w:rsidRDefault="009E7BE4" w:rsidP="00044D08">
      <w:pPr>
        <w:pStyle w:val="Default"/>
      </w:pPr>
      <w:r>
        <w:rPr>
          <w:noProof/>
        </w:rPr>
        <w:lastRenderedPageBreak/>
        <w:drawing>
          <wp:inline distT="0" distB="0" distL="0" distR="0" wp14:anchorId="3AED7FB4" wp14:editId="01780B69">
            <wp:extent cx="5651500" cy="4438015"/>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1500" cy="4438015"/>
                    </a:xfrm>
                    <a:prstGeom prst="rect">
                      <a:avLst/>
                    </a:prstGeom>
                    <a:noFill/>
                  </pic:spPr>
                </pic:pic>
              </a:graphicData>
            </a:graphic>
          </wp:inline>
        </w:drawing>
      </w:r>
    </w:p>
    <w:p w14:paraId="4AAD0C93" w14:textId="77777777" w:rsidR="009E7BE4" w:rsidRDefault="009E7BE4" w:rsidP="00044D08">
      <w:pPr>
        <w:pStyle w:val="Default"/>
      </w:pPr>
    </w:p>
    <w:p w14:paraId="2E7865AA" w14:textId="77777777" w:rsidR="009E7BE4" w:rsidRDefault="009E7BE4" w:rsidP="00044D08">
      <w:pPr>
        <w:pStyle w:val="Default"/>
      </w:pPr>
    </w:p>
    <w:p w14:paraId="5BE0FB9B" w14:textId="77777777" w:rsidR="009E7BE4" w:rsidRDefault="009E7BE4" w:rsidP="00044D08">
      <w:pPr>
        <w:pStyle w:val="Default"/>
      </w:pPr>
    </w:p>
    <w:p w14:paraId="612142C5" w14:textId="77777777" w:rsidR="009E7BE4" w:rsidRDefault="009E7BE4" w:rsidP="00044D08">
      <w:pPr>
        <w:pStyle w:val="Default"/>
      </w:pPr>
    </w:p>
    <w:p w14:paraId="540B7B1F" w14:textId="77777777" w:rsidR="009E7BE4" w:rsidRDefault="009E7BE4" w:rsidP="00044D08">
      <w:pPr>
        <w:pStyle w:val="Default"/>
      </w:pPr>
    </w:p>
    <w:p w14:paraId="577F4241" w14:textId="77777777" w:rsidR="009E7BE4" w:rsidRDefault="009E7BE4" w:rsidP="00044D08">
      <w:pPr>
        <w:pStyle w:val="Default"/>
      </w:pPr>
    </w:p>
    <w:p w14:paraId="481DAA54" w14:textId="77777777" w:rsidR="009E7BE4" w:rsidRDefault="009E7BE4" w:rsidP="00044D08">
      <w:pPr>
        <w:pStyle w:val="Default"/>
      </w:pPr>
    </w:p>
    <w:p w14:paraId="351C35E1" w14:textId="77777777" w:rsidR="009E7BE4" w:rsidRDefault="009E7BE4" w:rsidP="00044D08">
      <w:pPr>
        <w:pStyle w:val="Default"/>
      </w:pPr>
    </w:p>
    <w:p w14:paraId="164BB8A8" w14:textId="77777777" w:rsidR="009E7BE4" w:rsidRDefault="009E7BE4" w:rsidP="00044D08">
      <w:pPr>
        <w:pStyle w:val="Default"/>
      </w:pPr>
    </w:p>
    <w:p w14:paraId="23D0D410" w14:textId="6E263430" w:rsidR="009E7BE4" w:rsidRDefault="009E7BE4" w:rsidP="00044D08">
      <w:pPr>
        <w:pStyle w:val="Default"/>
      </w:pPr>
      <w:r>
        <w:t>Résultat de l’approche analytique améliorée</w:t>
      </w:r>
    </w:p>
    <w:p w14:paraId="5B65DEEE" w14:textId="38479DAA" w:rsidR="009E7BE4" w:rsidRDefault="009E7BE4" w:rsidP="00044D08">
      <w:pPr>
        <w:pStyle w:val="Default"/>
      </w:pPr>
      <w:r>
        <w:rPr>
          <w:noProof/>
        </w:rPr>
        <w:lastRenderedPageBreak/>
        <w:drawing>
          <wp:inline distT="0" distB="0" distL="0" distR="0" wp14:anchorId="0FD9EFA2" wp14:editId="516C06A4">
            <wp:extent cx="5773420" cy="444436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3420" cy="4444365"/>
                    </a:xfrm>
                    <a:prstGeom prst="rect">
                      <a:avLst/>
                    </a:prstGeom>
                    <a:noFill/>
                  </pic:spPr>
                </pic:pic>
              </a:graphicData>
            </a:graphic>
          </wp:inline>
        </w:drawing>
      </w:r>
    </w:p>
    <w:p w14:paraId="3EAFDA26" w14:textId="77777777" w:rsidR="00044D08" w:rsidRDefault="00044D08" w:rsidP="00044D08">
      <w:pPr>
        <w:pStyle w:val="Default"/>
      </w:pPr>
    </w:p>
    <w:p w14:paraId="5B08D131" w14:textId="26261EFF" w:rsidR="00147F11" w:rsidRDefault="009469B1" w:rsidP="009469B1">
      <w:pPr>
        <w:pStyle w:val="Default"/>
        <w:jc w:val="center"/>
      </w:pPr>
      <w:r>
        <w:rPr>
          <w:noProof/>
        </w:rPr>
        <w:drawing>
          <wp:inline distT="0" distB="0" distL="0" distR="0" wp14:anchorId="54F2279A" wp14:editId="0787A161">
            <wp:extent cx="5335200" cy="3600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5200" cy="3600000"/>
                    </a:xfrm>
                    <a:prstGeom prst="rect">
                      <a:avLst/>
                    </a:prstGeom>
                    <a:noFill/>
                  </pic:spPr>
                </pic:pic>
              </a:graphicData>
            </a:graphic>
          </wp:inline>
        </w:drawing>
      </w:r>
    </w:p>
    <w:p w14:paraId="7946C7A6" w14:textId="7FC7D195" w:rsidR="009469B1" w:rsidRDefault="009469B1" w:rsidP="009469B1">
      <w:pPr>
        <w:pStyle w:val="Default"/>
      </w:pPr>
      <w:r>
        <w:t>L’indicateur de la stabilité de l’effet Morton</w:t>
      </w:r>
      <w:r w:rsidR="00A239AE">
        <w:t xml:space="preserve"> inférieur à 1</w:t>
      </w:r>
      <w:r>
        <w:t xml:space="preserve"> prédit un comportement stable de l’effet Morton sur cette configuration du banc. </w:t>
      </w:r>
    </w:p>
    <w:p w14:paraId="6A3E6F72" w14:textId="73F5A530" w:rsidR="00320F8E" w:rsidRDefault="00183716" w:rsidP="00320F8E">
      <w:pPr>
        <w:pStyle w:val="Titre2"/>
      </w:pPr>
      <w:r>
        <w:lastRenderedPageBreak/>
        <w:t>C</w:t>
      </w:r>
      <w:r w:rsidR="00320F8E">
        <w:t>onfiguration du rotor long 700mm</w:t>
      </w:r>
    </w:p>
    <w:p w14:paraId="2E61F23B" w14:textId="77777777" w:rsidR="007B41B8" w:rsidRDefault="007B41B8" w:rsidP="007B41B8">
      <w:pPr>
        <w:pStyle w:val="Titre3"/>
      </w:pPr>
      <w:r>
        <w:t xml:space="preserve">Analyse Modale </w:t>
      </w:r>
    </w:p>
    <w:p w14:paraId="7E9691AE" w14:textId="5AFB674E" w:rsidR="007B41B8" w:rsidRDefault="00183716" w:rsidP="007B41B8">
      <w:pPr>
        <w:pStyle w:val="Titre3"/>
      </w:pPr>
      <w:r>
        <w:t>Calculs des</w:t>
      </w:r>
      <w:r w:rsidR="007B41B8">
        <w:t xml:space="preserve"> matrice</w:t>
      </w:r>
      <w:r>
        <w:t>s</w:t>
      </w:r>
      <w:r w:rsidR="007B41B8">
        <w:t xml:space="preserve"> A</w:t>
      </w:r>
      <w:r w:rsidR="00F22706">
        <w:t>, B, C</w:t>
      </w:r>
    </w:p>
    <w:p w14:paraId="14FC99D5" w14:textId="77777777" w:rsidR="007B41B8" w:rsidRPr="007B41B8" w:rsidRDefault="007B41B8" w:rsidP="007B41B8">
      <w:pPr>
        <w:pStyle w:val="Titre3"/>
      </w:pPr>
      <w:r>
        <w:t>Résultat de l’analyse de l’effet Morton</w:t>
      </w:r>
    </w:p>
    <w:p w14:paraId="32EF7EAD" w14:textId="77777777" w:rsidR="009F2F3E" w:rsidRDefault="009F2F3E" w:rsidP="009F2F3E">
      <w:pPr>
        <w:pStyle w:val="Titre1"/>
      </w:pPr>
      <w:r>
        <w:t xml:space="preserve">Etudes de cas historiques </w:t>
      </w:r>
    </w:p>
    <w:p w14:paraId="7E838D9C" w14:textId="2173D708" w:rsidR="002C657A" w:rsidRPr="002C657A" w:rsidRDefault="002C657A" w:rsidP="002C657A">
      <w:r>
        <w:t>Cette partie va être consacrée à l’application de la méthode d’analyse de l’effet Morton en utilisant les deux cas historiques. Un cas de Keogh et Morton</w:t>
      </w:r>
      <w:r w:rsidR="00C869D0">
        <w:t>[]</w:t>
      </w:r>
      <w:r>
        <w:t xml:space="preserve"> et un </w:t>
      </w:r>
      <w:r w:rsidR="00C869D0">
        <w:t>cas de Faulkner, Strong et Kirk[] . Les deux cas utilise</w:t>
      </w:r>
      <w:r w:rsidR="00FD1051">
        <w:t>nt</w:t>
      </w:r>
      <w:r w:rsidR="00C869D0">
        <w:t xml:space="preserve"> les paliers circulaire qui donne la possibilité d’utiliser les outils numériques mis au points.</w:t>
      </w:r>
      <w:r>
        <w:t xml:space="preserve">  </w:t>
      </w:r>
    </w:p>
    <w:p w14:paraId="7ED09FA9" w14:textId="77777777" w:rsidR="006B02AE" w:rsidRPr="006B02AE" w:rsidRDefault="006B02AE" w:rsidP="006B02AE"/>
    <w:p w14:paraId="6B827C4B" w14:textId="07E737B2" w:rsidR="00A548E9" w:rsidRPr="00A548E9" w:rsidRDefault="00A548E9" w:rsidP="00A548E9">
      <w:pPr>
        <w:pStyle w:val="Titre1"/>
      </w:pPr>
      <w:r>
        <w:t>Conclusion</w:t>
      </w:r>
    </w:p>
    <w:p w14:paraId="74CADC1A" w14:textId="77777777" w:rsidR="00A548E9" w:rsidRDefault="00A548E9" w:rsidP="00A548E9"/>
    <w:p w14:paraId="0D026A2D" w14:textId="77777777" w:rsidR="00A548E9" w:rsidRPr="00A548E9" w:rsidRDefault="00A548E9" w:rsidP="00A548E9"/>
    <w:p w14:paraId="00E26F87" w14:textId="77777777" w:rsidR="00FC6BEC" w:rsidRDefault="00FC6BEC" w:rsidP="00FC6BEC"/>
    <w:p w14:paraId="072D483F" w14:textId="77777777" w:rsidR="00FC6BEC" w:rsidRPr="00FC6BEC" w:rsidRDefault="00FC6BEC" w:rsidP="00FC6BEC"/>
    <w:p w14:paraId="0F5AF028" w14:textId="77777777" w:rsidR="00134AE6" w:rsidRPr="00656366" w:rsidRDefault="00134AE6" w:rsidP="00656366"/>
    <w:p w14:paraId="4F0B0A5C" w14:textId="77777777" w:rsidR="00010F6E" w:rsidRPr="00010F6E" w:rsidRDefault="00010F6E" w:rsidP="00010F6E"/>
    <w:p w14:paraId="1D263B2C" w14:textId="3E8EDD8D" w:rsidR="00D10079" w:rsidRDefault="00E63AD5" w:rsidP="00E63AD5">
      <w:pPr>
        <w:pStyle w:val="Titre1"/>
      </w:pPr>
      <w:r>
        <w:t xml:space="preserve">Référence </w:t>
      </w:r>
    </w:p>
    <w:p w14:paraId="09D651DA" w14:textId="77777777" w:rsidR="00E63AD5" w:rsidRDefault="00E63AD5" w:rsidP="00E63AD5"/>
    <w:p w14:paraId="0CC63954" w14:textId="77777777" w:rsidR="00DC5C2C" w:rsidRPr="00214DA2" w:rsidRDefault="00DC5C2C" w:rsidP="00DC5C2C">
      <w:pPr>
        <w:pStyle w:val="Paragraphedeliste"/>
        <w:numPr>
          <w:ilvl w:val="0"/>
          <w:numId w:val="2"/>
        </w:numPr>
        <w:spacing w:line="360" w:lineRule="auto"/>
        <w:jc w:val="both"/>
        <w:rPr>
          <w:lang w:val="en-US" w:eastAsia="en-US"/>
        </w:rPr>
      </w:pPr>
      <w:bookmarkStart w:id="10" w:name="_Ref523086107"/>
      <w:bookmarkStart w:id="11" w:name="_Ref529540767"/>
      <w:bookmarkStart w:id="12" w:name="_Ref526263891"/>
      <w:r w:rsidRPr="00CB172B">
        <w:rPr>
          <w:lang w:val="en-US" w:eastAsia="en-US"/>
        </w:rPr>
        <w:t>B.T. Murphy, and J.A. Lorenz, 2010, “Simplified Morton Effect Analysis for Synchronous Spiral In</w:t>
      </w:r>
      <w:r w:rsidRPr="00214DA2">
        <w:rPr>
          <w:lang w:val="en-US" w:eastAsia="en-US"/>
        </w:rPr>
        <w:t>stability</w:t>
      </w:r>
      <w:r>
        <w:rPr>
          <w:lang w:val="en-US" w:eastAsia="en-US"/>
        </w:rPr>
        <w:t>”</w:t>
      </w:r>
      <w:r w:rsidRPr="00214DA2">
        <w:rPr>
          <w:lang w:val="en-US" w:eastAsia="en-US"/>
        </w:rPr>
        <w:t>, ASME Journal of Vibration and Acoustics, Vol. 132, October, 2010</w:t>
      </w:r>
      <w:bookmarkEnd w:id="10"/>
    </w:p>
    <w:p w14:paraId="10AAB0DC" w14:textId="77777777" w:rsidR="003F6F14" w:rsidRDefault="003F6F14" w:rsidP="003F6F14">
      <w:pPr>
        <w:pStyle w:val="Paragraphedeliste"/>
        <w:numPr>
          <w:ilvl w:val="0"/>
          <w:numId w:val="2"/>
        </w:numPr>
        <w:overflowPunct/>
        <w:autoSpaceDE/>
        <w:autoSpaceDN/>
        <w:adjustRightInd/>
        <w:spacing w:after="160" w:line="360" w:lineRule="auto"/>
        <w:jc w:val="both"/>
        <w:textAlignment w:val="auto"/>
        <w:rPr>
          <w:rFonts w:asciiTheme="minorHAnsi" w:hAnsiTheme="minorHAnsi"/>
          <w:lang w:val="en-US"/>
        </w:rPr>
      </w:pPr>
      <w:bookmarkStart w:id="13" w:name="_Ref523082734"/>
      <w:r w:rsidRPr="008042D7">
        <w:rPr>
          <w:rFonts w:asciiTheme="minorHAnsi" w:hAnsiTheme="minorHAnsi"/>
          <w:lang w:val="en-US"/>
        </w:rPr>
        <w:t>P.</w:t>
      </w:r>
      <w:r>
        <w:rPr>
          <w:rFonts w:asciiTheme="minorHAnsi" w:hAnsiTheme="minorHAnsi"/>
          <w:lang w:val="en-US"/>
        </w:rPr>
        <w:t xml:space="preserve">Keogh </w:t>
      </w:r>
      <w:r w:rsidRPr="008042D7">
        <w:rPr>
          <w:rFonts w:asciiTheme="minorHAnsi" w:hAnsiTheme="minorHAnsi"/>
          <w:lang w:val="en-US"/>
        </w:rPr>
        <w:t xml:space="preserve">and P.Morton, </w:t>
      </w:r>
      <w:r>
        <w:rPr>
          <w:rFonts w:asciiTheme="minorHAnsi" w:hAnsiTheme="minorHAnsi"/>
          <w:lang w:val="en-US"/>
        </w:rPr>
        <w:t>“</w:t>
      </w:r>
      <w:r w:rsidRPr="008042D7">
        <w:rPr>
          <w:rFonts w:asciiTheme="minorHAnsi" w:hAnsiTheme="minorHAnsi"/>
          <w:lang w:val="en-US"/>
        </w:rPr>
        <w:t xml:space="preserve">The Dynamic Nature of Rotor Thermal Bending Due to Unsteady Lubricant Shearing Within a Bearing,” Proc. R. Soc. London, Ser. A: Math. Phys. Sci., 445(1924), pp. 273– </w:t>
      </w:r>
      <w:r>
        <w:rPr>
          <w:rFonts w:asciiTheme="minorHAnsi" w:hAnsiTheme="minorHAnsi"/>
          <w:lang w:val="en-US"/>
        </w:rPr>
        <w:t>290, 1994.</w:t>
      </w:r>
      <w:bookmarkEnd w:id="13"/>
    </w:p>
    <w:p w14:paraId="2EFA87D8" w14:textId="77777777" w:rsidR="003F6F14" w:rsidRPr="00A22718" w:rsidRDefault="003F6F14" w:rsidP="003F6F14">
      <w:pPr>
        <w:pStyle w:val="Paragraphedeliste"/>
        <w:numPr>
          <w:ilvl w:val="0"/>
          <w:numId w:val="2"/>
        </w:numPr>
        <w:overflowPunct/>
        <w:autoSpaceDE/>
        <w:autoSpaceDN/>
        <w:adjustRightInd/>
        <w:spacing w:after="160" w:line="360" w:lineRule="auto"/>
        <w:jc w:val="both"/>
        <w:textAlignment w:val="auto"/>
        <w:rPr>
          <w:rFonts w:asciiTheme="minorHAnsi" w:hAnsiTheme="minorHAnsi"/>
          <w:lang w:val="en-US"/>
        </w:rPr>
      </w:pPr>
      <w:bookmarkStart w:id="14" w:name="_Ref444181446"/>
      <w:r w:rsidRPr="00A22718">
        <w:rPr>
          <w:rFonts w:asciiTheme="minorHAnsi" w:hAnsiTheme="minorHAnsi"/>
          <w:lang w:val="en-US"/>
        </w:rPr>
        <w:t xml:space="preserve">A.C. Balbahadur and </w:t>
      </w:r>
      <w:r>
        <w:rPr>
          <w:rFonts w:asciiTheme="minorHAnsi" w:hAnsiTheme="minorHAnsi"/>
          <w:lang w:val="en-US"/>
        </w:rPr>
        <w:t>G</w:t>
      </w:r>
      <w:r w:rsidRPr="00A22718">
        <w:rPr>
          <w:rFonts w:asciiTheme="minorHAnsi" w:hAnsiTheme="minorHAnsi"/>
          <w:lang w:val="en-US"/>
        </w:rPr>
        <w:t>.Kirk, “Part II-Case Studies for a Synchronous Thermal instability operating in Overhung Rotors”, International Journal of Rotating Machinery, vol. 10, pp.447-487, 2004</w:t>
      </w:r>
      <w:bookmarkEnd w:id="14"/>
    </w:p>
    <w:p w14:paraId="2ED06BD9" w14:textId="659FCD9A" w:rsidR="00DC5C2C" w:rsidRDefault="003F6F14" w:rsidP="00883C66">
      <w:pPr>
        <w:pStyle w:val="Paragraphedeliste"/>
        <w:numPr>
          <w:ilvl w:val="0"/>
          <w:numId w:val="2"/>
        </w:numPr>
        <w:spacing w:line="360" w:lineRule="auto"/>
        <w:jc w:val="both"/>
        <w:rPr>
          <w:lang w:val="en-US"/>
        </w:rPr>
      </w:pPr>
      <w:r>
        <w:rPr>
          <w:lang w:val="en-US"/>
        </w:rPr>
        <w:t>H.B. Faulkner, W.F. Strong, and R.G. Kirk,  1997.  “Thermally induced synchronous instability of a radial inflow overhung turbine, Part II” Proceedings of ASME Design Engineering Tehcnical Conferences, Sacramento, California, DETC97/VIB-4174</w:t>
      </w:r>
    </w:p>
    <w:p w14:paraId="379A29F5" w14:textId="5EF33C97" w:rsidR="00A44FC4" w:rsidRDefault="00883C66" w:rsidP="00883C66">
      <w:pPr>
        <w:pStyle w:val="Paragraphedeliste"/>
        <w:numPr>
          <w:ilvl w:val="0"/>
          <w:numId w:val="2"/>
        </w:numPr>
        <w:spacing w:line="360" w:lineRule="auto"/>
        <w:jc w:val="both"/>
        <w:rPr>
          <w:lang w:val="en-US"/>
        </w:rPr>
      </w:pPr>
      <w:r w:rsidRPr="00883C66">
        <w:rPr>
          <w:lang w:val="en-US"/>
        </w:rPr>
        <w:t xml:space="preserve">Suh J, Palazzolo A. </w:t>
      </w:r>
      <w:r w:rsidR="00550222">
        <w:rPr>
          <w:lang w:val="en-US"/>
        </w:rPr>
        <w:t xml:space="preserve"> “</w:t>
      </w:r>
      <w:r w:rsidRPr="00883C66">
        <w:rPr>
          <w:lang w:val="en-US"/>
        </w:rPr>
        <w:t>Three-Dimensional Thermohydrodynamic Morton Effect Simulation</w:t>
      </w:r>
      <w:r w:rsidR="00550222">
        <w:rPr>
          <w:lang w:val="en-US"/>
        </w:rPr>
        <w:t xml:space="preserve"> </w:t>
      </w:r>
      <w:r w:rsidRPr="00883C66">
        <w:rPr>
          <w:lang w:val="en-US"/>
        </w:rPr>
        <w:t>—</w:t>
      </w:r>
      <w:r w:rsidR="00550222">
        <w:rPr>
          <w:lang w:val="en-US"/>
        </w:rPr>
        <w:t xml:space="preserve"> </w:t>
      </w:r>
      <w:r w:rsidRPr="00883C66">
        <w:rPr>
          <w:lang w:val="en-US"/>
        </w:rPr>
        <w:t>Part I: Theoretical Model</w:t>
      </w:r>
      <w:r w:rsidR="00550222">
        <w:rPr>
          <w:lang w:val="en-US"/>
        </w:rPr>
        <w:t xml:space="preserve">”, </w:t>
      </w:r>
      <w:r w:rsidR="00550222" w:rsidRPr="007523CD">
        <w:rPr>
          <w:lang w:val="en-US"/>
        </w:rPr>
        <w:t>ASME Journal of Tribology</w:t>
      </w:r>
      <w:r w:rsidRPr="00883C66">
        <w:rPr>
          <w:lang w:val="en-US"/>
        </w:rPr>
        <w:t>. 2014;</w:t>
      </w:r>
      <w:r w:rsidR="00550222">
        <w:rPr>
          <w:lang w:val="en-US"/>
        </w:rPr>
        <w:t xml:space="preserve"> </w:t>
      </w:r>
      <w:r w:rsidRPr="00883C66">
        <w:rPr>
          <w:lang w:val="en-US"/>
        </w:rPr>
        <w:t xml:space="preserve">136(3):031706-031706-14. </w:t>
      </w:r>
      <w:r w:rsidR="00550222">
        <w:rPr>
          <w:lang w:val="en-US"/>
        </w:rPr>
        <w:t xml:space="preserve"> </w:t>
      </w:r>
      <w:r w:rsidRPr="00883C66">
        <w:rPr>
          <w:lang w:val="en-US"/>
        </w:rPr>
        <w:t>doi:10.1115/1.4027309.</w:t>
      </w:r>
      <w:bookmarkEnd w:id="11"/>
    </w:p>
    <w:bookmarkEnd w:id="12"/>
    <w:p w14:paraId="2F642FD9" w14:textId="77777777" w:rsidR="005916C3" w:rsidRPr="005916C3" w:rsidRDefault="005916C3" w:rsidP="005916C3"/>
    <w:sectPr w:rsidR="005916C3" w:rsidRPr="005916C3">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54711B" w14:textId="77777777" w:rsidR="00B56939" w:rsidRDefault="00B56939" w:rsidP="00EA4CDE">
      <w:r>
        <w:separator/>
      </w:r>
    </w:p>
  </w:endnote>
  <w:endnote w:type="continuationSeparator" w:id="0">
    <w:p w14:paraId="2DE22DF8" w14:textId="77777777" w:rsidR="00B56939" w:rsidRDefault="00B56939" w:rsidP="00EA4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Palatino">
    <w:altName w:val="Book Antiqua"/>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1302581"/>
      <w:docPartObj>
        <w:docPartGallery w:val="Page Numbers (Bottom of Page)"/>
        <w:docPartUnique/>
      </w:docPartObj>
    </w:sdtPr>
    <w:sdtEndPr/>
    <w:sdtContent>
      <w:p w14:paraId="3F7A42D4" w14:textId="7CD5FEAE" w:rsidR="00B56939" w:rsidRDefault="00B56939">
        <w:pPr>
          <w:pStyle w:val="Pieddepage"/>
          <w:jc w:val="right"/>
        </w:pPr>
        <w:r>
          <w:fldChar w:fldCharType="begin"/>
        </w:r>
        <w:r>
          <w:instrText>PAGE   \* MERGEFORMAT</w:instrText>
        </w:r>
        <w:r>
          <w:fldChar w:fldCharType="separate"/>
        </w:r>
        <w:r w:rsidR="008E61D2">
          <w:rPr>
            <w:noProof/>
          </w:rPr>
          <w:t>11</w:t>
        </w:r>
        <w:r>
          <w:fldChar w:fldCharType="end"/>
        </w:r>
      </w:p>
    </w:sdtContent>
  </w:sdt>
  <w:p w14:paraId="58628903" w14:textId="77777777" w:rsidR="00B56939" w:rsidRDefault="00B5693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BE1534" w14:textId="77777777" w:rsidR="00B56939" w:rsidRDefault="00B56939" w:rsidP="00EA4CDE">
      <w:r>
        <w:separator/>
      </w:r>
    </w:p>
  </w:footnote>
  <w:footnote w:type="continuationSeparator" w:id="0">
    <w:p w14:paraId="1F9193A8" w14:textId="77777777" w:rsidR="00B56939" w:rsidRDefault="00B56939" w:rsidP="00EA4C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DACD5AE"/>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 w15:restartNumberingAfterBreak="0">
    <w:nsid w:val="024A79B1"/>
    <w:multiLevelType w:val="hybridMultilevel"/>
    <w:tmpl w:val="4FC8391E"/>
    <w:lvl w:ilvl="0" w:tplc="0972B0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6434DB"/>
    <w:multiLevelType w:val="hybridMultilevel"/>
    <w:tmpl w:val="5A8E565E"/>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385D91"/>
    <w:multiLevelType w:val="hybridMultilevel"/>
    <w:tmpl w:val="475A9978"/>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3843B9"/>
    <w:multiLevelType w:val="hybridMultilevel"/>
    <w:tmpl w:val="D98A3912"/>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370F75"/>
    <w:multiLevelType w:val="hybridMultilevel"/>
    <w:tmpl w:val="BF103CDE"/>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9F1FA7"/>
    <w:multiLevelType w:val="hybridMultilevel"/>
    <w:tmpl w:val="22E4F49A"/>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8646E83"/>
    <w:multiLevelType w:val="hybridMultilevel"/>
    <w:tmpl w:val="C3FE81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A3351A2"/>
    <w:multiLevelType w:val="hybridMultilevel"/>
    <w:tmpl w:val="E5B29792"/>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EBC4824"/>
    <w:multiLevelType w:val="hybridMultilevel"/>
    <w:tmpl w:val="A0ECEBD0"/>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1F43F3E"/>
    <w:multiLevelType w:val="hybridMultilevel"/>
    <w:tmpl w:val="B8344BF2"/>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D5B41A6"/>
    <w:multiLevelType w:val="multilevel"/>
    <w:tmpl w:val="3F9E1E4E"/>
    <w:styleLink w:val="Style1"/>
    <w:lvl w:ilvl="0">
      <w:start w:val="1"/>
      <w:numFmt w:val="decimal"/>
      <w:lvlText w:val="Eq.%1"/>
      <w:lvlJc w:val="left"/>
      <w:pPr>
        <w:ind w:left="0" w:firstLine="0"/>
      </w:pPr>
      <w:rPr>
        <w:rFonts w:ascii="Times New Roman" w:hAnsi="Times New Roman" w:hint="default"/>
        <w:color w:val="auto"/>
        <w:sz w:val="22"/>
      </w:rPr>
    </w:lvl>
    <w:lvl w:ilvl="1">
      <w:start w:val="1"/>
      <w:numFmt w:val="decimal"/>
      <w:lvlText w:val="Eq.%1-%2"/>
      <w:lvlJc w:val="left"/>
      <w:pPr>
        <w:ind w:left="0" w:firstLine="0"/>
      </w:pPr>
      <w:rPr>
        <w:rFonts w:ascii="Times New Roman" w:hAnsi="Times New Roman" w:hint="default"/>
        <w:sz w:val="22"/>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2F0D429B"/>
    <w:multiLevelType w:val="hybridMultilevel"/>
    <w:tmpl w:val="CC964DFA"/>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22F6DAA"/>
    <w:multiLevelType w:val="hybridMultilevel"/>
    <w:tmpl w:val="784218CC"/>
    <w:lvl w:ilvl="0" w:tplc="C896C006">
      <w:start w:val="1"/>
      <w:numFmt w:val="decimal"/>
      <w:lvlText w:val="Eq.%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32375B8"/>
    <w:multiLevelType w:val="hybridMultilevel"/>
    <w:tmpl w:val="448ABE00"/>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3BE411A"/>
    <w:multiLevelType w:val="multilevel"/>
    <w:tmpl w:val="3F9E1E4E"/>
    <w:numStyleLink w:val="Style1"/>
  </w:abstractNum>
  <w:abstractNum w:abstractNumId="16" w15:restartNumberingAfterBreak="0">
    <w:nsid w:val="35B51F48"/>
    <w:multiLevelType w:val="hybridMultilevel"/>
    <w:tmpl w:val="857A33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817084B"/>
    <w:multiLevelType w:val="hybridMultilevel"/>
    <w:tmpl w:val="4DBEEDC0"/>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AE3A61"/>
    <w:multiLevelType w:val="hybridMultilevel"/>
    <w:tmpl w:val="AA40007C"/>
    <w:lvl w:ilvl="0" w:tplc="0409000B">
      <w:start w:val="1"/>
      <w:numFmt w:val="bullet"/>
      <w:lvlText w:val=""/>
      <w:lvlJc w:val="left"/>
      <w:pPr>
        <w:ind w:left="1128" w:hanging="420"/>
      </w:pPr>
      <w:rPr>
        <w:rFonts w:ascii="Wingdings" w:hAnsi="Wingdings" w:hint="default"/>
      </w:rPr>
    </w:lvl>
    <w:lvl w:ilvl="1" w:tplc="04090003" w:tentative="1">
      <w:start w:val="1"/>
      <w:numFmt w:val="bullet"/>
      <w:lvlText w:val=""/>
      <w:lvlJc w:val="left"/>
      <w:pPr>
        <w:ind w:left="1548" w:hanging="420"/>
      </w:pPr>
      <w:rPr>
        <w:rFonts w:ascii="Wingdings" w:hAnsi="Wingdings" w:hint="default"/>
      </w:rPr>
    </w:lvl>
    <w:lvl w:ilvl="2" w:tplc="04090005"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3" w:tentative="1">
      <w:start w:val="1"/>
      <w:numFmt w:val="bullet"/>
      <w:lvlText w:val=""/>
      <w:lvlJc w:val="left"/>
      <w:pPr>
        <w:ind w:left="2808" w:hanging="420"/>
      </w:pPr>
      <w:rPr>
        <w:rFonts w:ascii="Wingdings" w:hAnsi="Wingdings" w:hint="default"/>
      </w:rPr>
    </w:lvl>
    <w:lvl w:ilvl="5" w:tplc="04090005"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3" w:tentative="1">
      <w:start w:val="1"/>
      <w:numFmt w:val="bullet"/>
      <w:lvlText w:val=""/>
      <w:lvlJc w:val="left"/>
      <w:pPr>
        <w:ind w:left="4068" w:hanging="420"/>
      </w:pPr>
      <w:rPr>
        <w:rFonts w:ascii="Wingdings" w:hAnsi="Wingdings" w:hint="default"/>
      </w:rPr>
    </w:lvl>
    <w:lvl w:ilvl="8" w:tplc="04090005" w:tentative="1">
      <w:start w:val="1"/>
      <w:numFmt w:val="bullet"/>
      <w:lvlText w:val=""/>
      <w:lvlJc w:val="left"/>
      <w:pPr>
        <w:ind w:left="4488" w:hanging="420"/>
      </w:pPr>
      <w:rPr>
        <w:rFonts w:ascii="Wingdings" w:hAnsi="Wingdings" w:hint="default"/>
      </w:rPr>
    </w:lvl>
  </w:abstractNum>
  <w:abstractNum w:abstractNumId="19" w15:restartNumberingAfterBreak="0">
    <w:nsid w:val="437E044E"/>
    <w:multiLevelType w:val="hybridMultilevel"/>
    <w:tmpl w:val="5A8E565E"/>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A346800"/>
    <w:multiLevelType w:val="hybridMultilevel"/>
    <w:tmpl w:val="DE0CF3BA"/>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DE34072"/>
    <w:multiLevelType w:val="hybridMultilevel"/>
    <w:tmpl w:val="8C1A2EDA"/>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E0F685B"/>
    <w:multiLevelType w:val="hybridMultilevel"/>
    <w:tmpl w:val="F73A0C68"/>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0DC3CA4"/>
    <w:multiLevelType w:val="hybridMultilevel"/>
    <w:tmpl w:val="4DBEEDC0"/>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24E487B"/>
    <w:multiLevelType w:val="hybridMultilevel"/>
    <w:tmpl w:val="E5B29792"/>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731355E"/>
    <w:multiLevelType w:val="hybridMultilevel"/>
    <w:tmpl w:val="4DBEEDC0"/>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8450F90"/>
    <w:multiLevelType w:val="hybridMultilevel"/>
    <w:tmpl w:val="784218CC"/>
    <w:lvl w:ilvl="0" w:tplc="C896C006">
      <w:start w:val="1"/>
      <w:numFmt w:val="decimal"/>
      <w:lvlText w:val="Eq.%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D0D7955"/>
    <w:multiLevelType w:val="hybridMultilevel"/>
    <w:tmpl w:val="15FEF4F2"/>
    <w:lvl w:ilvl="0" w:tplc="6D62B478">
      <w:numFmt w:val="bullet"/>
      <w:lvlText w:val=""/>
      <w:lvlJc w:val="left"/>
      <w:pPr>
        <w:ind w:left="720" w:hanging="360"/>
      </w:pPr>
      <w:rPr>
        <w:rFonts w:ascii="Symbol" w:eastAsiaTheme="minorEastAsia"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E0410A9"/>
    <w:multiLevelType w:val="hybridMultilevel"/>
    <w:tmpl w:val="CA08256A"/>
    <w:lvl w:ilvl="0" w:tplc="0C322464">
      <w:start w:val="1"/>
      <w:numFmt w:val="decimal"/>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F5052C6"/>
    <w:multiLevelType w:val="hybridMultilevel"/>
    <w:tmpl w:val="2AE2ADCE"/>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1C3464C"/>
    <w:multiLevelType w:val="hybridMultilevel"/>
    <w:tmpl w:val="F47CD558"/>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C500E01"/>
    <w:multiLevelType w:val="hybridMultilevel"/>
    <w:tmpl w:val="D1BA721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1621BE0"/>
    <w:multiLevelType w:val="hybridMultilevel"/>
    <w:tmpl w:val="C2FE003E"/>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C477AC2"/>
    <w:multiLevelType w:val="hybridMultilevel"/>
    <w:tmpl w:val="DB18B102"/>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E6D7C39"/>
    <w:multiLevelType w:val="hybridMultilevel"/>
    <w:tmpl w:val="B918761C"/>
    <w:lvl w:ilvl="0" w:tplc="0409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F220A55"/>
    <w:multiLevelType w:val="hybridMultilevel"/>
    <w:tmpl w:val="448ABE00"/>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F56616D"/>
    <w:multiLevelType w:val="hybridMultilevel"/>
    <w:tmpl w:val="AB847C92"/>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6"/>
  </w:num>
  <w:num w:numId="4">
    <w:abstractNumId w:val="27"/>
  </w:num>
  <w:num w:numId="5">
    <w:abstractNumId w:val="34"/>
  </w:num>
  <w:num w:numId="6">
    <w:abstractNumId w:val="11"/>
  </w:num>
  <w:num w:numId="7">
    <w:abstractNumId w:val="15"/>
    <w:lvlOverride w:ilvl="0">
      <w:lvl w:ilvl="0">
        <w:start w:val="1"/>
        <w:numFmt w:val="decimal"/>
        <w:lvlText w:val="Eq.%1"/>
        <w:lvlJc w:val="left"/>
        <w:pPr>
          <w:ind w:left="0" w:firstLine="0"/>
        </w:pPr>
        <w:rPr>
          <w:rFonts w:ascii="Times New Roman" w:hAnsi="Times New Roman" w:hint="default"/>
          <w:color w:val="auto"/>
          <w:sz w:val="22"/>
        </w:rPr>
      </w:lvl>
    </w:lvlOverride>
    <w:lvlOverride w:ilvl="1">
      <w:lvl w:ilvl="1">
        <w:start w:val="1"/>
        <w:numFmt w:val="decimal"/>
        <w:lvlText w:val="Eq.%1-%2"/>
        <w:lvlJc w:val="left"/>
        <w:pPr>
          <w:ind w:left="0" w:firstLine="0"/>
        </w:pPr>
        <w:rPr>
          <w:rFonts w:ascii="Times New Roman" w:hAnsi="Times New Roman" w:hint="default"/>
          <w:sz w:val="22"/>
        </w:rPr>
      </w:lvl>
    </w:lvlOverride>
    <w:lvlOverride w:ilvl="2">
      <w:lvl w:ilvl="2">
        <w:start w:val="1"/>
        <w:numFmt w:val="lowerRoman"/>
        <w:lvlText w:val="%3)"/>
        <w:lvlJc w:val="lef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8">
    <w:abstractNumId w:val="4"/>
  </w:num>
  <w:num w:numId="9">
    <w:abstractNumId w:val="36"/>
  </w:num>
  <w:num w:numId="10">
    <w:abstractNumId w:val="6"/>
  </w:num>
  <w:num w:numId="11">
    <w:abstractNumId w:val="8"/>
  </w:num>
  <w:num w:numId="12">
    <w:abstractNumId w:val="24"/>
  </w:num>
  <w:num w:numId="13">
    <w:abstractNumId w:val="10"/>
  </w:num>
  <w:num w:numId="14">
    <w:abstractNumId w:val="30"/>
  </w:num>
  <w:num w:numId="15">
    <w:abstractNumId w:val="20"/>
  </w:num>
  <w:num w:numId="16">
    <w:abstractNumId w:val="32"/>
  </w:num>
  <w:num w:numId="17">
    <w:abstractNumId w:val="33"/>
  </w:num>
  <w:num w:numId="18">
    <w:abstractNumId w:val="12"/>
  </w:num>
  <w:num w:numId="19">
    <w:abstractNumId w:val="21"/>
  </w:num>
  <w:num w:numId="20">
    <w:abstractNumId w:val="7"/>
  </w:num>
  <w:num w:numId="21">
    <w:abstractNumId w:val="5"/>
  </w:num>
  <w:num w:numId="22">
    <w:abstractNumId w:val="35"/>
  </w:num>
  <w:num w:numId="23">
    <w:abstractNumId w:val="14"/>
  </w:num>
  <w:num w:numId="24">
    <w:abstractNumId w:val="29"/>
  </w:num>
  <w:num w:numId="25">
    <w:abstractNumId w:val="22"/>
  </w:num>
  <w:num w:numId="26">
    <w:abstractNumId w:val="9"/>
  </w:num>
  <w:num w:numId="27">
    <w:abstractNumId w:val="3"/>
  </w:num>
  <w:num w:numId="28">
    <w:abstractNumId w:val="2"/>
  </w:num>
  <w:num w:numId="29">
    <w:abstractNumId w:val="19"/>
  </w:num>
  <w:num w:numId="30">
    <w:abstractNumId w:val="17"/>
  </w:num>
  <w:num w:numId="31">
    <w:abstractNumId w:val="25"/>
  </w:num>
  <w:num w:numId="32">
    <w:abstractNumId w:val="23"/>
  </w:num>
  <w:num w:numId="33">
    <w:abstractNumId w:val="16"/>
  </w:num>
  <w:num w:numId="34">
    <w:abstractNumId w:val="13"/>
  </w:num>
  <w:num w:numId="35">
    <w:abstractNumId w:val="31"/>
  </w:num>
  <w:num w:numId="36">
    <w:abstractNumId w:val="18"/>
  </w:num>
  <w:num w:numId="37">
    <w:abstractNumId w:val="15"/>
    <w:lvlOverride w:ilvl="0">
      <w:lvl w:ilvl="0">
        <w:start w:val="1"/>
        <w:numFmt w:val="decimal"/>
        <w:lvlText w:val="Eq.%1"/>
        <w:lvlJc w:val="left"/>
        <w:pPr>
          <w:ind w:left="0" w:firstLine="0"/>
        </w:pPr>
        <w:rPr>
          <w:rFonts w:ascii="Times New Roman" w:hAnsi="Times New Roman" w:cs="Times New Roman" w:hint="default"/>
          <w:b/>
          <w:color w:val="auto"/>
          <w:sz w:val="22"/>
        </w:rPr>
      </w:lvl>
    </w:lvlOverride>
    <w:lvlOverride w:ilvl="1">
      <w:lvl w:ilvl="1">
        <w:start w:val="1"/>
        <w:numFmt w:val="decimal"/>
        <w:lvlText w:val="Eq.%1-%2"/>
        <w:lvlJc w:val="left"/>
        <w:pPr>
          <w:ind w:left="0" w:firstLine="0"/>
        </w:pPr>
        <w:rPr>
          <w:rFonts w:ascii="Times New Roman" w:hAnsi="Times New Roman" w:hint="default"/>
          <w:sz w:val="22"/>
        </w:rPr>
      </w:lvl>
    </w:lvlOverride>
    <w:lvlOverride w:ilvl="2">
      <w:lvl w:ilvl="2">
        <w:start w:val="1"/>
        <w:numFmt w:val="lowerRoman"/>
        <w:lvlText w:val="%3)"/>
        <w:lvlJc w:val="lef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38">
    <w:abstractNumId w:val="2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256"/>
    <w:rsid w:val="00001B45"/>
    <w:rsid w:val="00001C88"/>
    <w:rsid w:val="00001FCF"/>
    <w:rsid w:val="000024FE"/>
    <w:rsid w:val="00002CE6"/>
    <w:rsid w:val="00003860"/>
    <w:rsid w:val="0000388F"/>
    <w:rsid w:val="00003981"/>
    <w:rsid w:val="00003ABE"/>
    <w:rsid w:val="00003C0C"/>
    <w:rsid w:val="000048B9"/>
    <w:rsid w:val="00005B2D"/>
    <w:rsid w:val="0000664D"/>
    <w:rsid w:val="00006B40"/>
    <w:rsid w:val="00006D6D"/>
    <w:rsid w:val="000073F8"/>
    <w:rsid w:val="00007AB7"/>
    <w:rsid w:val="00010068"/>
    <w:rsid w:val="00010326"/>
    <w:rsid w:val="00010785"/>
    <w:rsid w:val="0001078B"/>
    <w:rsid w:val="00010F6E"/>
    <w:rsid w:val="00011162"/>
    <w:rsid w:val="00011792"/>
    <w:rsid w:val="00012A5E"/>
    <w:rsid w:val="00013BF8"/>
    <w:rsid w:val="000140F3"/>
    <w:rsid w:val="0001474C"/>
    <w:rsid w:val="00015085"/>
    <w:rsid w:val="0001513F"/>
    <w:rsid w:val="0001519A"/>
    <w:rsid w:val="0001547D"/>
    <w:rsid w:val="00015625"/>
    <w:rsid w:val="000156A3"/>
    <w:rsid w:val="00015F25"/>
    <w:rsid w:val="000161E5"/>
    <w:rsid w:val="0001632E"/>
    <w:rsid w:val="0001683A"/>
    <w:rsid w:val="000169CF"/>
    <w:rsid w:val="00016B6B"/>
    <w:rsid w:val="00016ED7"/>
    <w:rsid w:val="00017020"/>
    <w:rsid w:val="000171FB"/>
    <w:rsid w:val="00017378"/>
    <w:rsid w:val="00017CAC"/>
    <w:rsid w:val="00017F13"/>
    <w:rsid w:val="00020037"/>
    <w:rsid w:val="0002003A"/>
    <w:rsid w:val="00020870"/>
    <w:rsid w:val="000211DC"/>
    <w:rsid w:val="00021E52"/>
    <w:rsid w:val="00022497"/>
    <w:rsid w:val="00022669"/>
    <w:rsid w:val="000227DB"/>
    <w:rsid w:val="00022918"/>
    <w:rsid w:val="00022D17"/>
    <w:rsid w:val="00022F1A"/>
    <w:rsid w:val="00023129"/>
    <w:rsid w:val="000234F5"/>
    <w:rsid w:val="000244A2"/>
    <w:rsid w:val="00024FA1"/>
    <w:rsid w:val="00025562"/>
    <w:rsid w:val="000256B3"/>
    <w:rsid w:val="00025AB1"/>
    <w:rsid w:val="00025DF0"/>
    <w:rsid w:val="00026245"/>
    <w:rsid w:val="000265AF"/>
    <w:rsid w:val="00027CE5"/>
    <w:rsid w:val="00030067"/>
    <w:rsid w:val="00030138"/>
    <w:rsid w:val="0003029C"/>
    <w:rsid w:val="0003061B"/>
    <w:rsid w:val="000306C1"/>
    <w:rsid w:val="00030C76"/>
    <w:rsid w:val="00030CD0"/>
    <w:rsid w:val="00030DED"/>
    <w:rsid w:val="00031256"/>
    <w:rsid w:val="00031789"/>
    <w:rsid w:val="000323C8"/>
    <w:rsid w:val="000324FE"/>
    <w:rsid w:val="000329E0"/>
    <w:rsid w:val="00032CE3"/>
    <w:rsid w:val="00033446"/>
    <w:rsid w:val="00033A09"/>
    <w:rsid w:val="00034058"/>
    <w:rsid w:val="0003497B"/>
    <w:rsid w:val="00034D6A"/>
    <w:rsid w:val="00035384"/>
    <w:rsid w:val="000354E2"/>
    <w:rsid w:val="00036A3E"/>
    <w:rsid w:val="00037095"/>
    <w:rsid w:val="0004139E"/>
    <w:rsid w:val="000418F5"/>
    <w:rsid w:val="0004265C"/>
    <w:rsid w:val="00042752"/>
    <w:rsid w:val="00042AEC"/>
    <w:rsid w:val="00042C4B"/>
    <w:rsid w:val="00042F4D"/>
    <w:rsid w:val="000445C1"/>
    <w:rsid w:val="00044942"/>
    <w:rsid w:val="00044D08"/>
    <w:rsid w:val="00045415"/>
    <w:rsid w:val="00045A69"/>
    <w:rsid w:val="0004684D"/>
    <w:rsid w:val="000477E1"/>
    <w:rsid w:val="00050542"/>
    <w:rsid w:val="0005143E"/>
    <w:rsid w:val="00052359"/>
    <w:rsid w:val="0005290E"/>
    <w:rsid w:val="00053C50"/>
    <w:rsid w:val="00054389"/>
    <w:rsid w:val="000547C9"/>
    <w:rsid w:val="00054BD6"/>
    <w:rsid w:val="00055FFB"/>
    <w:rsid w:val="000561E2"/>
    <w:rsid w:val="0005630D"/>
    <w:rsid w:val="00056435"/>
    <w:rsid w:val="00060242"/>
    <w:rsid w:val="000604FA"/>
    <w:rsid w:val="00060A02"/>
    <w:rsid w:val="00061756"/>
    <w:rsid w:val="00061913"/>
    <w:rsid w:val="00061A67"/>
    <w:rsid w:val="000628C3"/>
    <w:rsid w:val="00063613"/>
    <w:rsid w:val="000645E4"/>
    <w:rsid w:val="00064CFD"/>
    <w:rsid w:val="000659BC"/>
    <w:rsid w:val="00066122"/>
    <w:rsid w:val="00066668"/>
    <w:rsid w:val="0006694C"/>
    <w:rsid w:val="00066A7A"/>
    <w:rsid w:val="000677BC"/>
    <w:rsid w:val="00067A42"/>
    <w:rsid w:val="00067CC8"/>
    <w:rsid w:val="00070365"/>
    <w:rsid w:val="00070410"/>
    <w:rsid w:val="000707C9"/>
    <w:rsid w:val="00070913"/>
    <w:rsid w:val="00070AC4"/>
    <w:rsid w:val="00070DFE"/>
    <w:rsid w:val="00071AC6"/>
    <w:rsid w:val="0007315B"/>
    <w:rsid w:val="00073366"/>
    <w:rsid w:val="00073466"/>
    <w:rsid w:val="0007443E"/>
    <w:rsid w:val="000748D6"/>
    <w:rsid w:val="00075A62"/>
    <w:rsid w:val="00075B43"/>
    <w:rsid w:val="00075FE5"/>
    <w:rsid w:val="000761A3"/>
    <w:rsid w:val="0008019D"/>
    <w:rsid w:val="00080736"/>
    <w:rsid w:val="00081595"/>
    <w:rsid w:val="000823EB"/>
    <w:rsid w:val="00082F7F"/>
    <w:rsid w:val="00083269"/>
    <w:rsid w:val="000836E9"/>
    <w:rsid w:val="00084767"/>
    <w:rsid w:val="00085E5C"/>
    <w:rsid w:val="000866E5"/>
    <w:rsid w:val="00087513"/>
    <w:rsid w:val="00087C1E"/>
    <w:rsid w:val="00087C8A"/>
    <w:rsid w:val="00087FB5"/>
    <w:rsid w:val="0009029B"/>
    <w:rsid w:val="000906D5"/>
    <w:rsid w:val="00090D6F"/>
    <w:rsid w:val="00090F1B"/>
    <w:rsid w:val="00091761"/>
    <w:rsid w:val="000921A9"/>
    <w:rsid w:val="00092CDA"/>
    <w:rsid w:val="00092E24"/>
    <w:rsid w:val="00092EA5"/>
    <w:rsid w:val="000934EF"/>
    <w:rsid w:val="00093732"/>
    <w:rsid w:val="000941E6"/>
    <w:rsid w:val="00094784"/>
    <w:rsid w:val="00095895"/>
    <w:rsid w:val="0009678B"/>
    <w:rsid w:val="000971A1"/>
    <w:rsid w:val="000971EF"/>
    <w:rsid w:val="000976FA"/>
    <w:rsid w:val="00097795"/>
    <w:rsid w:val="000A01F8"/>
    <w:rsid w:val="000A145D"/>
    <w:rsid w:val="000A16CB"/>
    <w:rsid w:val="000A1A79"/>
    <w:rsid w:val="000A27E8"/>
    <w:rsid w:val="000A2D58"/>
    <w:rsid w:val="000A2D61"/>
    <w:rsid w:val="000A2EB4"/>
    <w:rsid w:val="000A391D"/>
    <w:rsid w:val="000A3C20"/>
    <w:rsid w:val="000A3FAE"/>
    <w:rsid w:val="000A3FEE"/>
    <w:rsid w:val="000A4600"/>
    <w:rsid w:val="000A49BE"/>
    <w:rsid w:val="000A4DC1"/>
    <w:rsid w:val="000A4F5E"/>
    <w:rsid w:val="000A5446"/>
    <w:rsid w:val="000A5A32"/>
    <w:rsid w:val="000A5CFA"/>
    <w:rsid w:val="000A611A"/>
    <w:rsid w:val="000A618E"/>
    <w:rsid w:val="000A6733"/>
    <w:rsid w:val="000A6B2F"/>
    <w:rsid w:val="000A75C5"/>
    <w:rsid w:val="000A77AE"/>
    <w:rsid w:val="000A7AA3"/>
    <w:rsid w:val="000B0C9B"/>
    <w:rsid w:val="000B0E3D"/>
    <w:rsid w:val="000B1EF3"/>
    <w:rsid w:val="000B230A"/>
    <w:rsid w:val="000B2D2F"/>
    <w:rsid w:val="000B2F6C"/>
    <w:rsid w:val="000B322B"/>
    <w:rsid w:val="000B3D3D"/>
    <w:rsid w:val="000B4125"/>
    <w:rsid w:val="000B47E9"/>
    <w:rsid w:val="000B53FD"/>
    <w:rsid w:val="000B59C0"/>
    <w:rsid w:val="000B5B7B"/>
    <w:rsid w:val="000B5FAF"/>
    <w:rsid w:val="000B63BF"/>
    <w:rsid w:val="000B63CB"/>
    <w:rsid w:val="000B6951"/>
    <w:rsid w:val="000B6E52"/>
    <w:rsid w:val="000B74DE"/>
    <w:rsid w:val="000B75E9"/>
    <w:rsid w:val="000B7A25"/>
    <w:rsid w:val="000B7D10"/>
    <w:rsid w:val="000C0572"/>
    <w:rsid w:val="000C1693"/>
    <w:rsid w:val="000C2941"/>
    <w:rsid w:val="000C3087"/>
    <w:rsid w:val="000C3172"/>
    <w:rsid w:val="000C33CC"/>
    <w:rsid w:val="000C3A52"/>
    <w:rsid w:val="000C4719"/>
    <w:rsid w:val="000C4DB5"/>
    <w:rsid w:val="000C4E9F"/>
    <w:rsid w:val="000C5827"/>
    <w:rsid w:val="000C6423"/>
    <w:rsid w:val="000C664F"/>
    <w:rsid w:val="000C66F6"/>
    <w:rsid w:val="000C679B"/>
    <w:rsid w:val="000D2A7C"/>
    <w:rsid w:val="000D2A99"/>
    <w:rsid w:val="000D2D2C"/>
    <w:rsid w:val="000D2F51"/>
    <w:rsid w:val="000D339E"/>
    <w:rsid w:val="000D40BA"/>
    <w:rsid w:val="000D4584"/>
    <w:rsid w:val="000D4FF2"/>
    <w:rsid w:val="000D531E"/>
    <w:rsid w:val="000D59C3"/>
    <w:rsid w:val="000D5BE6"/>
    <w:rsid w:val="000D7C02"/>
    <w:rsid w:val="000D7C20"/>
    <w:rsid w:val="000E0028"/>
    <w:rsid w:val="000E089C"/>
    <w:rsid w:val="000E0AE9"/>
    <w:rsid w:val="000E13C1"/>
    <w:rsid w:val="000E1673"/>
    <w:rsid w:val="000E1C35"/>
    <w:rsid w:val="000E1C40"/>
    <w:rsid w:val="000E2BD6"/>
    <w:rsid w:val="000E4E28"/>
    <w:rsid w:val="000E574F"/>
    <w:rsid w:val="000E5D11"/>
    <w:rsid w:val="000E5D54"/>
    <w:rsid w:val="000E7CBA"/>
    <w:rsid w:val="000E7EF7"/>
    <w:rsid w:val="000F06F5"/>
    <w:rsid w:val="000F0B32"/>
    <w:rsid w:val="000F146E"/>
    <w:rsid w:val="000F1860"/>
    <w:rsid w:val="000F1D0C"/>
    <w:rsid w:val="000F200B"/>
    <w:rsid w:val="000F28D3"/>
    <w:rsid w:val="000F2C7B"/>
    <w:rsid w:val="000F2E19"/>
    <w:rsid w:val="000F3421"/>
    <w:rsid w:val="000F349C"/>
    <w:rsid w:val="000F34D3"/>
    <w:rsid w:val="000F3F7E"/>
    <w:rsid w:val="000F44A3"/>
    <w:rsid w:val="000F49C0"/>
    <w:rsid w:val="000F4A40"/>
    <w:rsid w:val="000F54A2"/>
    <w:rsid w:val="000F5CDA"/>
    <w:rsid w:val="000F5D72"/>
    <w:rsid w:val="000F6417"/>
    <w:rsid w:val="000F643F"/>
    <w:rsid w:val="000F6937"/>
    <w:rsid w:val="000F6BBF"/>
    <w:rsid w:val="000F6CFC"/>
    <w:rsid w:val="000F7471"/>
    <w:rsid w:val="000F7BC9"/>
    <w:rsid w:val="000F7F7C"/>
    <w:rsid w:val="00100F04"/>
    <w:rsid w:val="00100FAC"/>
    <w:rsid w:val="001010D3"/>
    <w:rsid w:val="001011E4"/>
    <w:rsid w:val="00101975"/>
    <w:rsid w:val="00101F40"/>
    <w:rsid w:val="0010265B"/>
    <w:rsid w:val="00102B4C"/>
    <w:rsid w:val="00102EC2"/>
    <w:rsid w:val="001032D0"/>
    <w:rsid w:val="00103660"/>
    <w:rsid w:val="001038F4"/>
    <w:rsid w:val="00103CA0"/>
    <w:rsid w:val="00104F4C"/>
    <w:rsid w:val="00105162"/>
    <w:rsid w:val="00105A27"/>
    <w:rsid w:val="0010634E"/>
    <w:rsid w:val="001066DE"/>
    <w:rsid w:val="001068C0"/>
    <w:rsid w:val="00106BE1"/>
    <w:rsid w:val="00106F98"/>
    <w:rsid w:val="001074B4"/>
    <w:rsid w:val="00107C5B"/>
    <w:rsid w:val="00107D92"/>
    <w:rsid w:val="00107E22"/>
    <w:rsid w:val="0011090B"/>
    <w:rsid w:val="00111448"/>
    <w:rsid w:val="00111FDE"/>
    <w:rsid w:val="001133EF"/>
    <w:rsid w:val="00113523"/>
    <w:rsid w:val="00113BDF"/>
    <w:rsid w:val="00113D65"/>
    <w:rsid w:val="00113E4B"/>
    <w:rsid w:val="00115AC1"/>
    <w:rsid w:val="00116066"/>
    <w:rsid w:val="0011612E"/>
    <w:rsid w:val="00116932"/>
    <w:rsid w:val="00117077"/>
    <w:rsid w:val="00117820"/>
    <w:rsid w:val="00117CB8"/>
    <w:rsid w:val="0012091A"/>
    <w:rsid w:val="00121369"/>
    <w:rsid w:val="001214CD"/>
    <w:rsid w:val="0012168D"/>
    <w:rsid w:val="001217FC"/>
    <w:rsid w:val="001224A5"/>
    <w:rsid w:val="00123886"/>
    <w:rsid w:val="001243A0"/>
    <w:rsid w:val="0012493F"/>
    <w:rsid w:val="00124FE2"/>
    <w:rsid w:val="00125784"/>
    <w:rsid w:val="00125FFE"/>
    <w:rsid w:val="0012645F"/>
    <w:rsid w:val="001265D4"/>
    <w:rsid w:val="001268AE"/>
    <w:rsid w:val="00126E4E"/>
    <w:rsid w:val="00127A64"/>
    <w:rsid w:val="00127D02"/>
    <w:rsid w:val="001307BB"/>
    <w:rsid w:val="001308D1"/>
    <w:rsid w:val="00130A5C"/>
    <w:rsid w:val="00130D71"/>
    <w:rsid w:val="00130EBC"/>
    <w:rsid w:val="00132AAC"/>
    <w:rsid w:val="00132E72"/>
    <w:rsid w:val="00133A46"/>
    <w:rsid w:val="00133A71"/>
    <w:rsid w:val="00133BFF"/>
    <w:rsid w:val="00133F97"/>
    <w:rsid w:val="00133FCF"/>
    <w:rsid w:val="0013484E"/>
    <w:rsid w:val="00134AE6"/>
    <w:rsid w:val="00134F70"/>
    <w:rsid w:val="001353AB"/>
    <w:rsid w:val="00135C65"/>
    <w:rsid w:val="001360D7"/>
    <w:rsid w:val="00136871"/>
    <w:rsid w:val="0013717E"/>
    <w:rsid w:val="00137481"/>
    <w:rsid w:val="00137558"/>
    <w:rsid w:val="00137B26"/>
    <w:rsid w:val="00137FBE"/>
    <w:rsid w:val="00140151"/>
    <w:rsid w:val="00140561"/>
    <w:rsid w:val="00140C8D"/>
    <w:rsid w:val="001410F2"/>
    <w:rsid w:val="00141142"/>
    <w:rsid w:val="001411F6"/>
    <w:rsid w:val="001413C9"/>
    <w:rsid w:val="00141A41"/>
    <w:rsid w:val="00142E69"/>
    <w:rsid w:val="00143CBF"/>
    <w:rsid w:val="00143E8F"/>
    <w:rsid w:val="001440A9"/>
    <w:rsid w:val="00144DF8"/>
    <w:rsid w:val="00145209"/>
    <w:rsid w:val="00145526"/>
    <w:rsid w:val="0014560E"/>
    <w:rsid w:val="00145E8D"/>
    <w:rsid w:val="001465D3"/>
    <w:rsid w:val="001469CD"/>
    <w:rsid w:val="001473ED"/>
    <w:rsid w:val="00147470"/>
    <w:rsid w:val="00147627"/>
    <w:rsid w:val="001476C0"/>
    <w:rsid w:val="0014777C"/>
    <w:rsid w:val="00147F11"/>
    <w:rsid w:val="00150B80"/>
    <w:rsid w:val="00150FFE"/>
    <w:rsid w:val="0015139F"/>
    <w:rsid w:val="0015166C"/>
    <w:rsid w:val="001518F6"/>
    <w:rsid w:val="001523D4"/>
    <w:rsid w:val="00152FEC"/>
    <w:rsid w:val="00153141"/>
    <w:rsid w:val="001531A3"/>
    <w:rsid w:val="001532BD"/>
    <w:rsid w:val="0015344D"/>
    <w:rsid w:val="0015363D"/>
    <w:rsid w:val="00153D29"/>
    <w:rsid w:val="00154964"/>
    <w:rsid w:val="00154BA5"/>
    <w:rsid w:val="00154CA9"/>
    <w:rsid w:val="00154E4B"/>
    <w:rsid w:val="00154E8B"/>
    <w:rsid w:val="00155382"/>
    <w:rsid w:val="00155DF3"/>
    <w:rsid w:val="00156CCA"/>
    <w:rsid w:val="00160941"/>
    <w:rsid w:val="00160CEC"/>
    <w:rsid w:val="00161700"/>
    <w:rsid w:val="00161768"/>
    <w:rsid w:val="0016182B"/>
    <w:rsid w:val="00161A97"/>
    <w:rsid w:val="001624E6"/>
    <w:rsid w:val="00162D8D"/>
    <w:rsid w:val="0016300D"/>
    <w:rsid w:val="00163CFE"/>
    <w:rsid w:val="00164BC2"/>
    <w:rsid w:val="00164CB9"/>
    <w:rsid w:val="00164F57"/>
    <w:rsid w:val="00165124"/>
    <w:rsid w:val="00165765"/>
    <w:rsid w:val="00165EFE"/>
    <w:rsid w:val="00166BC5"/>
    <w:rsid w:val="00166E96"/>
    <w:rsid w:val="00167650"/>
    <w:rsid w:val="00167C2D"/>
    <w:rsid w:val="00170233"/>
    <w:rsid w:val="00170752"/>
    <w:rsid w:val="00170D38"/>
    <w:rsid w:val="00172040"/>
    <w:rsid w:val="00172596"/>
    <w:rsid w:val="00172A74"/>
    <w:rsid w:val="00172ABD"/>
    <w:rsid w:val="00173180"/>
    <w:rsid w:val="0017377C"/>
    <w:rsid w:val="00173850"/>
    <w:rsid w:val="0017415D"/>
    <w:rsid w:val="001743E0"/>
    <w:rsid w:val="00174FF9"/>
    <w:rsid w:val="00175165"/>
    <w:rsid w:val="00175CBA"/>
    <w:rsid w:val="0017646D"/>
    <w:rsid w:val="00176EB5"/>
    <w:rsid w:val="0017722D"/>
    <w:rsid w:val="0017743E"/>
    <w:rsid w:val="00177494"/>
    <w:rsid w:val="00177C99"/>
    <w:rsid w:val="0018039A"/>
    <w:rsid w:val="001808D6"/>
    <w:rsid w:val="00180AA1"/>
    <w:rsid w:val="00182165"/>
    <w:rsid w:val="00182A16"/>
    <w:rsid w:val="00182D00"/>
    <w:rsid w:val="00183382"/>
    <w:rsid w:val="00183716"/>
    <w:rsid w:val="00183EC5"/>
    <w:rsid w:val="00183FFF"/>
    <w:rsid w:val="001852F5"/>
    <w:rsid w:val="00185C38"/>
    <w:rsid w:val="00186325"/>
    <w:rsid w:val="001866FA"/>
    <w:rsid w:val="0018698A"/>
    <w:rsid w:val="00186A02"/>
    <w:rsid w:val="00187500"/>
    <w:rsid w:val="00187CE6"/>
    <w:rsid w:val="00187D88"/>
    <w:rsid w:val="0019024C"/>
    <w:rsid w:val="00190AAD"/>
    <w:rsid w:val="00190E90"/>
    <w:rsid w:val="0019182B"/>
    <w:rsid w:val="00191CD3"/>
    <w:rsid w:val="00191E4A"/>
    <w:rsid w:val="001920CA"/>
    <w:rsid w:val="001927BD"/>
    <w:rsid w:val="0019291E"/>
    <w:rsid w:val="00192BF1"/>
    <w:rsid w:val="00192C42"/>
    <w:rsid w:val="001936C8"/>
    <w:rsid w:val="00193D17"/>
    <w:rsid w:val="00194C70"/>
    <w:rsid w:val="00194C8E"/>
    <w:rsid w:val="001950AA"/>
    <w:rsid w:val="001955DC"/>
    <w:rsid w:val="00195D6C"/>
    <w:rsid w:val="001969E0"/>
    <w:rsid w:val="00197EFF"/>
    <w:rsid w:val="001A089D"/>
    <w:rsid w:val="001A0912"/>
    <w:rsid w:val="001A0B7A"/>
    <w:rsid w:val="001A0D19"/>
    <w:rsid w:val="001A0E3E"/>
    <w:rsid w:val="001A1092"/>
    <w:rsid w:val="001A10A3"/>
    <w:rsid w:val="001A11B7"/>
    <w:rsid w:val="001A19B6"/>
    <w:rsid w:val="001A1F30"/>
    <w:rsid w:val="001A1FAF"/>
    <w:rsid w:val="001A2FEC"/>
    <w:rsid w:val="001A339E"/>
    <w:rsid w:val="001A3610"/>
    <w:rsid w:val="001A4E0E"/>
    <w:rsid w:val="001A548B"/>
    <w:rsid w:val="001A5C60"/>
    <w:rsid w:val="001A6171"/>
    <w:rsid w:val="001A642A"/>
    <w:rsid w:val="001A6491"/>
    <w:rsid w:val="001A6B97"/>
    <w:rsid w:val="001A6E70"/>
    <w:rsid w:val="001A7F53"/>
    <w:rsid w:val="001B0CE1"/>
    <w:rsid w:val="001B1428"/>
    <w:rsid w:val="001B1567"/>
    <w:rsid w:val="001B22A7"/>
    <w:rsid w:val="001B266C"/>
    <w:rsid w:val="001B328A"/>
    <w:rsid w:val="001B3673"/>
    <w:rsid w:val="001B3D01"/>
    <w:rsid w:val="001B4BFB"/>
    <w:rsid w:val="001B586C"/>
    <w:rsid w:val="001B5C1E"/>
    <w:rsid w:val="001B5FAE"/>
    <w:rsid w:val="001B643A"/>
    <w:rsid w:val="001B79C7"/>
    <w:rsid w:val="001B7E63"/>
    <w:rsid w:val="001C00DE"/>
    <w:rsid w:val="001C0E84"/>
    <w:rsid w:val="001C2115"/>
    <w:rsid w:val="001C2750"/>
    <w:rsid w:val="001C34F5"/>
    <w:rsid w:val="001C38DF"/>
    <w:rsid w:val="001C4688"/>
    <w:rsid w:val="001C51AC"/>
    <w:rsid w:val="001C5321"/>
    <w:rsid w:val="001C578B"/>
    <w:rsid w:val="001C57AC"/>
    <w:rsid w:val="001C5887"/>
    <w:rsid w:val="001C5C78"/>
    <w:rsid w:val="001C5F89"/>
    <w:rsid w:val="001C668D"/>
    <w:rsid w:val="001C73B9"/>
    <w:rsid w:val="001C7C78"/>
    <w:rsid w:val="001D037E"/>
    <w:rsid w:val="001D248D"/>
    <w:rsid w:val="001D259B"/>
    <w:rsid w:val="001D31C8"/>
    <w:rsid w:val="001D3D5B"/>
    <w:rsid w:val="001D414D"/>
    <w:rsid w:val="001D4437"/>
    <w:rsid w:val="001D4749"/>
    <w:rsid w:val="001D552C"/>
    <w:rsid w:val="001D6482"/>
    <w:rsid w:val="001D6B5C"/>
    <w:rsid w:val="001D7A8F"/>
    <w:rsid w:val="001D7E7A"/>
    <w:rsid w:val="001E0325"/>
    <w:rsid w:val="001E0A99"/>
    <w:rsid w:val="001E0ACD"/>
    <w:rsid w:val="001E3098"/>
    <w:rsid w:val="001E366E"/>
    <w:rsid w:val="001E4067"/>
    <w:rsid w:val="001E4D46"/>
    <w:rsid w:val="001E4F5A"/>
    <w:rsid w:val="001E4F68"/>
    <w:rsid w:val="001E5322"/>
    <w:rsid w:val="001E597A"/>
    <w:rsid w:val="001E64C4"/>
    <w:rsid w:val="001E7072"/>
    <w:rsid w:val="001E780D"/>
    <w:rsid w:val="001E786F"/>
    <w:rsid w:val="001E7DD6"/>
    <w:rsid w:val="001E7E4F"/>
    <w:rsid w:val="001F0F3E"/>
    <w:rsid w:val="001F148A"/>
    <w:rsid w:val="001F15B3"/>
    <w:rsid w:val="001F195F"/>
    <w:rsid w:val="001F1A0C"/>
    <w:rsid w:val="001F1A12"/>
    <w:rsid w:val="001F1E37"/>
    <w:rsid w:val="001F20E6"/>
    <w:rsid w:val="001F2577"/>
    <w:rsid w:val="001F2589"/>
    <w:rsid w:val="001F2F0A"/>
    <w:rsid w:val="001F4766"/>
    <w:rsid w:val="001F5542"/>
    <w:rsid w:val="001F60C1"/>
    <w:rsid w:val="001F61B8"/>
    <w:rsid w:val="001F6562"/>
    <w:rsid w:val="001F7138"/>
    <w:rsid w:val="0020107F"/>
    <w:rsid w:val="00201BC6"/>
    <w:rsid w:val="002021C6"/>
    <w:rsid w:val="002026DE"/>
    <w:rsid w:val="00202E59"/>
    <w:rsid w:val="002030A9"/>
    <w:rsid w:val="00203DC0"/>
    <w:rsid w:val="00204238"/>
    <w:rsid w:val="00204CF6"/>
    <w:rsid w:val="00205707"/>
    <w:rsid w:val="00205E81"/>
    <w:rsid w:val="002070EF"/>
    <w:rsid w:val="00207928"/>
    <w:rsid w:val="00207A7A"/>
    <w:rsid w:val="00207FC1"/>
    <w:rsid w:val="002103E7"/>
    <w:rsid w:val="002104CA"/>
    <w:rsid w:val="00210D93"/>
    <w:rsid w:val="00211F11"/>
    <w:rsid w:val="00212644"/>
    <w:rsid w:val="0021328B"/>
    <w:rsid w:val="00213472"/>
    <w:rsid w:val="002144C2"/>
    <w:rsid w:val="002150EB"/>
    <w:rsid w:val="002154A9"/>
    <w:rsid w:val="00216F98"/>
    <w:rsid w:val="002171D5"/>
    <w:rsid w:val="00217E44"/>
    <w:rsid w:val="00220924"/>
    <w:rsid w:val="00220CD8"/>
    <w:rsid w:val="002210E9"/>
    <w:rsid w:val="002216E7"/>
    <w:rsid w:val="0022266A"/>
    <w:rsid w:val="00222715"/>
    <w:rsid w:val="002229DA"/>
    <w:rsid w:val="00222B33"/>
    <w:rsid w:val="00222B71"/>
    <w:rsid w:val="00222FBC"/>
    <w:rsid w:val="002234F6"/>
    <w:rsid w:val="002247E9"/>
    <w:rsid w:val="0022481C"/>
    <w:rsid w:val="00224896"/>
    <w:rsid w:val="0022611B"/>
    <w:rsid w:val="00226388"/>
    <w:rsid w:val="002265F4"/>
    <w:rsid w:val="0022684B"/>
    <w:rsid w:val="00227034"/>
    <w:rsid w:val="002273D2"/>
    <w:rsid w:val="002275EA"/>
    <w:rsid w:val="00227635"/>
    <w:rsid w:val="00227686"/>
    <w:rsid w:val="00227A3D"/>
    <w:rsid w:val="00227BCA"/>
    <w:rsid w:val="0023213B"/>
    <w:rsid w:val="00232B19"/>
    <w:rsid w:val="002340B8"/>
    <w:rsid w:val="00234619"/>
    <w:rsid w:val="00235082"/>
    <w:rsid w:val="002360C9"/>
    <w:rsid w:val="0023665E"/>
    <w:rsid w:val="002366D6"/>
    <w:rsid w:val="00236935"/>
    <w:rsid w:val="002372DA"/>
    <w:rsid w:val="00237334"/>
    <w:rsid w:val="00237AA2"/>
    <w:rsid w:val="00237B6F"/>
    <w:rsid w:val="00237F2D"/>
    <w:rsid w:val="00240C33"/>
    <w:rsid w:val="00241077"/>
    <w:rsid w:val="002416CA"/>
    <w:rsid w:val="00241FFC"/>
    <w:rsid w:val="00242161"/>
    <w:rsid w:val="00242CB5"/>
    <w:rsid w:val="00242EA3"/>
    <w:rsid w:val="002432C6"/>
    <w:rsid w:val="00243D07"/>
    <w:rsid w:val="00244234"/>
    <w:rsid w:val="002444BA"/>
    <w:rsid w:val="002444F2"/>
    <w:rsid w:val="00244DEA"/>
    <w:rsid w:val="00244EB1"/>
    <w:rsid w:val="002459BB"/>
    <w:rsid w:val="00245C10"/>
    <w:rsid w:val="00245ECB"/>
    <w:rsid w:val="002467D1"/>
    <w:rsid w:val="002467E8"/>
    <w:rsid w:val="00246F58"/>
    <w:rsid w:val="00247AD7"/>
    <w:rsid w:val="00247BB2"/>
    <w:rsid w:val="00247D2C"/>
    <w:rsid w:val="00247FF7"/>
    <w:rsid w:val="0025020A"/>
    <w:rsid w:val="002507B6"/>
    <w:rsid w:val="00250E89"/>
    <w:rsid w:val="0025147E"/>
    <w:rsid w:val="00251542"/>
    <w:rsid w:val="0025186E"/>
    <w:rsid w:val="0025196F"/>
    <w:rsid w:val="00252019"/>
    <w:rsid w:val="0025267D"/>
    <w:rsid w:val="00253B20"/>
    <w:rsid w:val="002540BE"/>
    <w:rsid w:val="002546A3"/>
    <w:rsid w:val="00254A6F"/>
    <w:rsid w:val="00254BAE"/>
    <w:rsid w:val="00254DAA"/>
    <w:rsid w:val="00255A93"/>
    <w:rsid w:val="00255BE4"/>
    <w:rsid w:val="0025625E"/>
    <w:rsid w:val="00256416"/>
    <w:rsid w:val="002564D5"/>
    <w:rsid w:val="002568EA"/>
    <w:rsid w:val="0026166D"/>
    <w:rsid w:val="00261C12"/>
    <w:rsid w:val="002625F3"/>
    <w:rsid w:val="00262F4D"/>
    <w:rsid w:val="002636B3"/>
    <w:rsid w:val="0026430D"/>
    <w:rsid w:val="0026511E"/>
    <w:rsid w:val="00266173"/>
    <w:rsid w:val="0026649D"/>
    <w:rsid w:val="002665C8"/>
    <w:rsid w:val="002666A7"/>
    <w:rsid w:val="0026763C"/>
    <w:rsid w:val="002711B9"/>
    <w:rsid w:val="0027186B"/>
    <w:rsid w:val="00272255"/>
    <w:rsid w:val="00272E02"/>
    <w:rsid w:val="002740AA"/>
    <w:rsid w:val="00274D1E"/>
    <w:rsid w:val="002761DB"/>
    <w:rsid w:val="002767B5"/>
    <w:rsid w:val="00276815"/>
    <w:rsid w:val="00277107"/>
    <w:rsid w:val="00277820"/>
    <w:rsid w:val="002778C3"/>
    <w:rsid w:val="0027793D"/>
    <w:rsid w:val="00277992"/>
    <w:rsid w:val="00277ADF"/>
    <w:rsid w:val="00280169"/>
    <w:rsid w:val="00281219"/>
    <w:rsid w:val="00281361"/>
    <w:rsid w:val="00281868"/>
    <w:rsid w:val="00282D02"/>
    <w:rsid w:val="002834A7"/>
    <w:rsid w:val="002835EB"/>
    <w:rsid w:val="0028409C"/>
    <w:rsid w:val="00284540"/>
    <w:rsid w:val="002846B8"/>
    <w:rsid w:val="00284CEC"/>
    <w:rsid w:val="0028506D"/>
    <w:rsid w:val="0028513E"/>
    <w:rsid w:val="00285143"/>
    <w:rsid w:val="0028556B"/>
    <w:rsid w:val="00285679"/>
    <w:rsid w:val="00286122"/>
    <w:rsid w:val="002863CA"/>
    <w:rsid w:val="002867B8"/>
    <w:rsid w:val="002868A9"/>
    <w:rsid w:val="00286989"/>
    <w:rsid w:val="00287A8E"/>
    <w:rsid w:val="00287CF2"/>
    <w:rsid w:val="0029095A"/>
    <w:rsid w:val="00290DF5"/>
    <w:rsid w:val="00291150"/>
    <w:rsid w:val="00292739"/>
    <w:rsid w:val="00292BE2"/>
    <w:rsid w:val="0029373A"/>
    <w:rsid w:val="00293B3C"/>
    <w:rsid w:val="00294888"/>
    <w:rsid w:val="002949CC"/>
    <w:rsid w:val="00295A0B"/>
    <w:rsid w:val="00295C43"/>
    <w:rsid w:val="00296433"/>
    <w:rsid w:val="00297D47"/>
    <w:rsid w:val="002A04D9"/>
    <w:rsid w:val="002A04E2"/>
    <w:rsid w:val="002A0CDE"/>
    <w:rsid w:val="002A1ACA"/>
    <w:rsid w:val="002A1B44"/>
    <w:rsid w:val="002A1EAB"/>
    <w:rsid w:val="002A34BC"/>
    <w:rsid w:val="002A3B08"/>
    <w:rsid w:val="002A42D4"/>
    <w:rsid w:val="002A4FE6"/>
    <w:rsid w:val="002A5175"/>
    <w:rsid w:val="002A53F7"/>
    <w:rsid w:val="002A5C65"/>
    <w:rsid w:val="002A5D7B"/>
    <w:rsid w:val="002A69B0"/>
    <w:rsid w:val="002A6D03"/>
    <w:rsid w:val="002A6E4A"/>
    <w:rsid w:val="002A70CC"/>
    <w:rsid w:val="002A7432"/>
    <w:rsid w:val="002A7F67"/>
    <w:rsid w:val="002A7F9D"/>
    <w:rsid w:val="002B0851"/>
    <w:rsid w:val="002B0DEC"/>
    <w:rsid w:val="002B104D"/>
    <w:rsid w:val="002B1AE4"/>
    <w:rsid w:val="002B24B3"/>
    <w:rsid w:val="002B42AF"/>
    <w:rsid w:val="002B4D0D"/>
    <w:rsid w:val="002B4F8B"/>
    <w:rsid w:val="002B5B72"/>
    <w:rsid w:val="002B5D81"/>
    <w:rsid w:val="002B6071"/>
    <w:rsid w:val="002B7609"/>
    <w:rsid w:val="002C12E1"/>
    <w:rsid w:val="002C292B"/>
    <w:rsid w:val="002C2959"/>
    <w:rsid w:val="002C2D3B"/>
    <w:rsid w:val="002C2DBC"/>
    <w:rsid w:val="002C300D"/>
    <w:rsid w:val="002C34BB"/>
    <w:rsid w:val="002C38DB"/>
    <w:rsid w:val="002C3A28"/>
    <w:rsid w:val="002C3B66"/>
    <w:rsid w:val="002C51F6"/>
    <w:rsid w:val="002C5C5B"/>
    <w:rsid w:val="002C6544"/>
    <w:rsid w:val="002C657A"/>
    <w:rsid w:val="002C671D"/>
    <w:rsid w:val="002C6B2A"/>
    <w:rsid w:val="002D0301"/>
    <w:rsid w:val="002D04F9"/>
    <w:rsid w:val="002D10E3"/>
    <w:rsid w:val="002D1272"/>
    <w:rsid w:val="002D224E"/>
    <w:rsid w:val="002D2731"/>
    <w:rsid w:val="002D27F5"/>
    <w:rsid w:val="002D2F0D"/>
    <w:rsid w:val="002D31CB"/>
    <w:rsid w:val="002D3905"/>
    <w:rsid w:val="002D4047"/>
    <w:rsid w:val="002D4710"/>
    <w:rsid w:val="002D4C6C"/>
    <w:rsid w:val="002D5364"/>
    <w:rsid w:val="002D58F5"/>
    <w:rsid w:val="002D5A41"/>
    <w:rsid w:val="002D6F8D"/>
    <w:rsid w:val="002D78A9"/>
    <w:rsid w:val="002D7A89"/>
    <w:rsid w:val="002D7A8A"/>
    <w:rsid w:val="002E0066"/>
    <w:rsid w:val="002E15EC"/>
    <w:rsid w:val="002E260A"/>
    <w:rsid w:val="002E2A71"/>
    <w:rsid w:val="002E302B"/>
    <w:rsid w:val="002E3106"/>
    <w:rsid w:val="002E37BF"/>
    <w:rsid w:val="002E3807"/>
    <w:rsid w:val="002E3D34"/>
    <w:rsid w:val="002E3DEC"/>
    <w:rsid w:val="002E3FB2"/>
    <w:rsid w:val="002E4B06"/>
    <w:rsid w:val="002E5902"/>
    <w:rsid w:val="002E6712"/>
    <w:rsid w:val="002E6756"/>
    <w:rsid w:val="002E734C"/>
    <w:rsid w:val="002E7AB3"/>
    <w:rsid w:val="002E7B45"/>
    <w:rsid w:val="002E7D15"/>
    <w:rsid w:val="002F00C6"/>
    <w:rsid w:val="002F0276"/>
    <w:rsid w:val="002F092D"/>
    <w:rsid w:val="002F0ACE"/>
    <w:rsid w:val="002F18A6"/>
    <w:rsid w:val="002F2005"/>
    <w:rsid w:val="002F218A"/>
    <w:rsid w:val="002F22EE"/>
    <w:rsid w:val="002F25BC"/>
    <w:rsid w:val="002F2BFA"/>
    <w:rsid w:val="002F333D"/>
    <w:rsid w:val="002F40E7"/>
    <w:rsid w:val="002F49D2"/>
    <w:rsid w:val="002F4B1C"/>
    <w:rsid w:val="002F522D"/>
    <w:rsid w:val="002F53C9"/>
    <w:rsid w:val="002F5E0C"/>
    <w:rsid w:val="002F600C"/>
    <w:rsid w:val="002F6089"/>
    <w:rsid w:val="002F6210"/>
    <w:rsid w:val="002F62E6"/>
    <w:rsid w:val="002F64AD"/>
    <w:rsid w:val="002F6C9C"/>
    <w:rsid w:val="002F7223"/>
    <w:rsid w:val="002F7FD4"/>
    <w:rsid w:val="00300601"/>
    <w:rsid w:val="003006D3"/>
    <w:rsid w:val="00300759"/>
    <w:rsid w:val="00300824"/>
    <w:rsid w:val="0030121A"/>
    <w:rsid w:val="00301306"/>
    <w:rsid w:val="00301368"/>
    <w:rsid w:val="003014F6"/>
    <w:rsid w:val="00302378"/>
    <w:rsid w:val="003026FD"/>
    <w:rsid w:val="003027F7"/>
    <w:rsid w:val="00302FAA"/>
    <w:rsid w:val="00302FEB"/>
    <w:rsid w:val="00303F20"/>
    <w:rsid w:val="0030479A"/>
    <w:rsid w:val="00304924"/>
    <w:rsid w:val="00305B49"/>
    <w:rsid w:val="00307A34"/>
    <w:rsid w:val="00310778"/>
    <w:rsid w:val="00310799"/>
    <w:rsid w:val="00310C37"/>
    <w:rsid w:val="003110A1"/>
    <w:rsid w:val="00312E05"/>
    <w:rsid w:val="00313036"/>
    <w:rsid w:val="0031307F"/>
    <w:rsid w:val="0031372A"/>
    <w:rsid w:val="00314342"/>
    <w:rsid w:val="003144EC"/>
    <w:rsid w:val="00314776"/>
    <w:rsid w:val="003150DA"/>
    <w:rsid w:val="0031698A"/>
    <w:rsid w:val="00316AA3"/>
    <w:rsid w:val="00316DC1"/>
    <w:rsid w:val="00317673"/>
    <w:rsid w:val="003204AE"/>
    <w:rsid w:val="003205E6"/>
    <w:rsid w:val="00320F8E"/>
    <w:rsid w:val="0032139B"/>
    <w:rsid w:val="003213ED"/>
    <w:rsid w:val="00322FBA"/>
    <w:rsid w:val="00323048"/>
    <w:rsid w:val="00323177"/>
    <w:rsid w:val="00323405"/>
    <w:rsid w:val="00323724"/>
    <w:rsid w:val="003237B0"/>
    <w:rsid w:val="00323AD1"/>
    <w:rsid w:val="00324E96"/>
    <w:rsid w:val="0032515F"/>
    <w:rsid w:val="00325C5A"/>
    <w:rsid w:val="00325E43"/>
    <w:rsid w:val="00326B34"/>
    <w:rsid w:val="00326BF9"/>
    <w:rsid w:val="00326F70"/>
    <w:rsid w:val="00327C5C"/>
    <w:rsid w:val="00327DC8"/>
    <w:rsid w:val="00330128"/>
    <w:rsid w:val="003301E3"/>
    <w:rsid w:val="003310A6"/>
    <w:rsid w:val="0033124F"/>
    <w:rsid w:val="003313EF"/>
    <w:rsid w:val="00331433"/>
    <w:rsid w:val="00331E44"/>
    <w:rsid w:val="0033208B"/>
    <w:rsid w:val="003320CA"/>
    <w:rsid w:val="0033229C"/>
    <w:rsid w:val="00332779"/>
    <w:rsid w:val="0033288D"/>
    <w:rsid w:val="00332D42"/>
    <w:rsid w:val="003331A9"/>
    <w:rsid w:val="00333534"/>
    <w:rsid w:val="00333687"/>
    <w:rsid w:val="003345BF"/>
    <w:rsid w:val="00334C9E"/>
    <w:rsid w:val="003353D6"/>
    <w:rsid w:val="00335C26"/>
    <w:rsid w:val="00335E4B"/>
    <w:rsid w:val="00336174"/>
    <w:rsid w:val="00336AC8"/>
    <w:rsid w:val="00336D8E"/>
    <w:rsid w:val="0033750F"/>
    <w:rsid w:val="00337771"/>
    <w:rsid w:val="0033777B"/>
    <w:rsid w:val="00337B2C"/>
    <w:rsid w:val="00337B58"/>
    <w:rsid w:val="00337C21"/>
    <w:rsid w:val="00340632"/>
    <w:rsid w:val="00340B8C"/>
    <w:rsid w:val="00341933"/>
    <w:rsid w:val="0034244B"/>
    <w:rsid w:val="0034272D"/>
    <w:rsid w:val="003427E8"/>
    <w:rsid w:val="003443FF"/>
    <w:rsid w:val="00345164"/>
    <w:rsid w:val="003460C0"/>
    <w:rsid w:val="00346290"/>
    <w:rsid w:val="00346D1C"/>
    <w:rsid w:val="003470FA"/>
    <w:rsid w:val="003471D2"/>
    <w:rsid w:val="00347D90"/>
    <w:rsid w:val="00350DC1"/>
    <w:rsid w:val="003510CB"/>
    <w:rsid w:val="003513DE"/>
    <w:rsid w:val="00351810"/>
    <w:rsid w:val="003518BC"/>
    <w:rsid w:val="0035218B"/>
    <w:rsid w:val="00352B2E"/>
    <w:rsid w:val="00353712"/>
    <w:rsid w:val="00353D5B"/>
    <w:rsid w:val="003541DE"/>
    <w:rsid w:val="00354CEB"/>
    <w:rsid w:val="00355A98"/>
    <w:rsid w:val="00355CDB"/>
    <w:rsid w:val="003568EE"/>
    <w:rsid w:val="003578C8"/>
    <w:rsid w:val="00357A66"/>
    <w:rsid w:val="00360453"/>
    <w:rsid w:val="00360AF0"/>
    <w:rsid w:val="00360E33"/>
    <w:rsid w:val="0036103E"/>
    <w:rsid w:val="0036220D"/>
    <w:rsid w:val="00362227"/>
    <w:rsid w:val="0036276F"/>
    <w:rsid w:val="00362AF9"/>
    <w:rsid w:val="00363057"/>
    <w:rsid w:val="00363557"/>
    <w:rsid w:val="003637CF"/>
    <w:rsid w:val="0036419B"/>
    <w:rsid w:val="003648AA"/>
    <w:rsid w:val="00364C96"/>
    <w:rsid w:val="00364F5E"/>
    <w:rsid w:val="00366481"/>
    <w:rsid w:val="00370188"/>
    <w:rsid w:val="0037019B"/>
    <w:rsid w:val="0037065F"/>
    <w:rsid w:val="00370E4A"/>
    <w:rsid w:val="0037159E"/>
    <w:rsid w:val="00371FA9"/>
    <w:rsid w:val="00372E88"/>
    <w:rsid w:val="0037358F"/>
    <w:rsid w:val="00373EE4"/>
    <w:rsid w:val="003748F5"/>
    <w:rsid w:val="003757C3"/>
    <w:rsid w:val="003770EB"/>
    <w:rsid w:val="00377BBE"/>
    <w:rsid w:val="00377F4E"/>
    <w:rsid w:val="003803B0"/>
    <w:rsid w:val="00380CD0"/>
    <w:rsid w:val="0038127A"/>
    <w:rsid w:val="003816FB"/>
    <w:rsid w:val="00381E81"/>
    <w:rsid w:val="00382E5D"/>
    <w:rsid w:val="003832A8"/>
    <w:rsid w:val="0038343D"/>
    <w:rsid w:val="003849C1"/>
    <w:rsid w:val="00385271"/>
    <w:rsid w:val="00385286"/>
    <w:rsid w:val="003853BF"/>
    <w:rsid w:val="0038599C"/>
    <w:rsid w:val="00385A1D"/>
    <w:rsid w:val="0038648A"/>
    <w:rsid w:val="00386F7D"/>
    <w:rsid w:val="003873BB"/>
    <w:rsid w:val="003879C8"/>
    <w:rsid w:val="003879D9"/>
    <w:rsid w:val="00387E2F"/>
    <w:rsid w:val="00387EA3"/>
    <w:rsid w:val="00387F2D"/>
    <w:rsid w:val="00391760"/>
    <w:rsid w:val="00391FEA"/>
    <w:rsid w:val="003924CD"/>
    <w:rsid w:val="00392574"/>
    <w:rsid w:val="003929B6"/>
    <w:rsid w:val="003936AB"/>
    <w:rsid w:val="00393CA6"/>
    <w:rsid w:val="003943E9"/>
    <w:rsid w:val="00394825"/>
    <w:rsid w:val="00394BFA"/>
    <w:rsid w:val="003951C5"/>
    <w:rsid w:val="0039657F"/>
    <w:rsid w:val="00396A11"/>
    <w:rsid w:val="003970C0"/>
    <w:rsid w:val="003976FB"/>
    <w:rsid w:val="00397769"/>
    <w:rsid w:val="00397B3D"/>
    <w:rsid w:val="003A0415"/>
    <w:rsid w:val="003A0A95"/>
    <w:rsid w:val="003A1D84"/>
    <w:rsid w:val="003A2178"/>
    <w:rsid w:val="003A2C00"/>
    <w:rsid w:val="003A2C49"/>
    <w:rsid w:val="003A3E7B"/>
    <w:rsid w:val="003A3EF4"/>
    <w:rsid w:val="003A4385"/>
    <w:rsid w:val="003A47A8"/>
    <w:rsid w:val="003A4DEB"/>
    <w:rsid w:val="003A4EB9"/>
    <w:rsid w:val="003A5006"/>
    <w:rsid w:val="003A5213"/>
    <w:rsid w:val="003A62E0"/>
    <w:rsid w:val="003A6DC0"/>
    <w:rsid w:val="003A71AF"/>
    <w:rsid w:val="003B000A"/>
    <w:rsid w:val="003B091B"/>
    <w:rsid w:val="003B0ABF"/>
    <w:rsid w:val="003B0F5D"/>
    <w:rsid w:val="003B10E6"/>
    <w:rsid w:val="003B1112"/>
    <w:rsid w:val="003B2155"/>
    <w:rsid w:val="003B2745"/>
    <w:rsid w:val="003B32E2"/>
    <w:rsid w:val="003B392B"/>
    <w:rsid w:val="003B3E8B"/>
    <w:rsid w:val="003B4675"/>
    <w:rsid w:val="003B4DA0"/>
    <w:rsid w:val="003B52F9"/>
    <w:rsid w:val="003B550D"/>
    <w:rsid w:val="003B6A38"/>
    <w:rsid w:val="003B6E5A"/>
    <w:rsid w:val="003B7D04"/>
    <w:rsid w:val="003C0BE3"/>
    <w:rsid w:val="003C19E0"/>
    <w:rsid w:val="003C2454"/>
    <w:rsid w:val="003C2494"/>
    <w:rsid w:val="003C2A03"/>
    <w:rsid w:val="003C34B3"/>
    <w:rsid w:val="003C6388"/>
    <w:rsid w:val="003C688F"/>
    <w:rsid w:val="003C68FE"/>
    <w:rsid w:val="003C6A63"/>
    <w:rsid w:val="003C6B9B"/>
    <w:rsid w:val="003C6EBD"/>
    <w:rsid w:val="003C7B0E"/>
    <w:rsid w:val="003C7DD0"/>
    <w:rsid w:val="003C7F02"/>
    <w:rsid w:val="003D03B6"/>
    <w:rsid w:val="003D1444"/>
    <w:rsid w:val="003D145F"/>
    <w:rsid w:val="003D1860"/>
    <w:rsid w:val="003D18E9"/>
    <w:rsid w:val="003D21D1"/>
    <w:rsid w:val="003D24CD"/>
    <w:rsid w:val="003D2C47"/>
    <w:rsid w:val="003D2DAD"/>
    <w:rsid w:val="003D2F3E"/>
    <w:rsid w:val="003D331F"/>
    <w:rsid w:val="003D391D"/>
    <w:rsid w:val="003D421B"/>
    <w:rsid w:val="003D49D1"/>
    <w:rsid w:val="003D4B70"/>
    <w:rsid w:val="003D60D7"/>
    <w:rsid w:val="003D71AC"/>
    <w:rsid w:val="003D769C"/>
    <w:rsid w:val="003D7B77"/>
    <w:rsid w:val="003E024D"/>
    <w:rsid w:val="003E0A69"/>
    <w:rsid w:val="003E1234"/>
    <w:rsid w:val="003E2016"/>
    <w:rsid w:val="003E2A9F"/>
    <w:rsid w:val="003E2ADF"/>
    <w:rsid w:val="003E2BBE"/>
    <w:rsid w:val="003E2D8A"/>
    <w:rsid w:val="003E3530"/>
    <w:rsid w:val="003E3B83"/>
    <w:rsid w:val="003E417D"/>
    <w:rsid w:val="003E42AA"/>
    <w:rsid w:val="003E463A"/>
    <w:rsid w:val="003E512E"/>
    <w:rsid w:val="003E5994"/>
    <w:rsid w:val="003E64F7"/>
    <w:rsid w:val="003E6FDB"/>
    <w:rsid w:val="003E709B"/>
    <w:rsid w:val="003E7262"/>
    <w:rsid w:val="003E7B59"/>
    <w:rsid w:val="003E7FE2"/>
    <w:rsid w:val="003F0151"/>
    <w:rsid w:val="003F033F"/>
    <w:rsid w:val="003F1A04"/>
    <w:rsid w:val="003F20B7"/>
    <w:rsid w:val="003F2FE8"/>
    <w:rsid w:val="003F30C1"/>
    <w:rsid w:val="003F323F"/>
    <w:rsid w:val="003F419C"/>
    <w:rsid w:val="003F51E2"/>
    <w:rsid w:val="003F597D"/>
    <w:rsid w:val="003F63A7"/>
    <w:rsid w:val="003F6479"/>
    <w:rsid w:val="003F647F"/>
    <w:rsid w:val="003F6ABB"/>
    <w:rsid w:val="003F6F14"/>
    <w:rsid w:val="003F728C"/>
    <w:rsid w:val="003F734A"/>
    <w:rsid w:val="003F75F9"/>
    <w:rsid w:val="0040034E"/>
    <w:rsid w:val="00400C4B"/>
    <w:rsid w:val="004019D7"/>
    <w:rsid w:val="00401A07"/>
    <w:rsid w:val="00401CF7"/>
    <w:rsid w:val="004027C1"/>
    <w:rsid w:val="004028F6"/>
    <w:rsid w:val="00402EB5"/>
    <w:rsid w:val="00402FA2"/>
    <w:rsid w:val="004046B2"/>
    <w:rsid w:val="004053C9"/>
    <w:rsid w:val="004059D9"/>
    <w:rsid w:val="00405B2B"/>
    <w:rsid w:val="0040648B"/>
    <w:rsid w:val="0040707E"/>
    <w:rsid w:val="004075F4"/>
    <w:rsid w:val="00407763"/>
    <w:rsid w:val="0040783B"/>
    <w:rsid w:val="00407C3E"/>
    <w:rsid w:val="00410F8F"/>
    <w:rsid w:val="004112A4"/>
    <w:rsid w:val="00411E3A"/>
    <w:rsid w:val="00412416"/>
    <w:rsid w:val="0041269B"/>
    <w:rsid w:val="00412975"/>
    <w:rsid w:val="004131A1"/>
    <w:rsid w:val="004131DD"/>
    <w:rsid w:val="004135D7"/>
    <w:rsid w:val="00413F3A"/>
    <w:rsid w:val="00414849"/>
    <w:rsid w:val="0041520B"/>
    <w:rsid w:val="0041571A"/>
    <w:rsid w:val="00415F96"/>
    <w:rsid w:val="00415FCC"/>
    <w:rsid w:val="004160EF"/>
    <w:rsid w:val="00416964"/>
    <w:rsid w:val="00416A2B"/>
    <w:rsid w:val="004174D8"/>
    <w:rsid w:val="00421A37"/>
    <w:rsid w:val="00421D75"/>
    <w:rsid w:val="00421F97"/>
    <w:rsid w:val="004220E8"/>
    <w:rsid w:val="004221F0"/>
    <w:rsid w:val="00423C2A"/>
    <w:rsid w:val="00423D60"/>
    <w:rsid w:val="0042590D"/>
    <w:rsid w:val="00425E83"/>
    <w:rsid w:val="00426CBA"/>
    <w:rsid w:val="00426D37"/>
    <w:rsid w:val="00427187"/>
    <w:rsid w:val="00427AB0"/>
    <w:rsid w:val="00430B4F"/>
    <w:rsid w:val="00431A07"/>
    <w:rsid w:val="00432261"/>
    <w:rsid w:val="004324EC"/>
    <w:rsid w:val="004328EE"/>
    <w:rsid w:val="00432BC4"/>
    <w:rsid w:val="004335A5"/>
    <w:rsid w:val="00433BC8"/>
    <w:rsid w:val="00434305"/>
    <w:rsid w:val="00434A8C"/>
    <w:rsid w:val="00434C0D"/>
    <w:rsid w:val="00435121"/>
    <w:rsid w:val="0043549D"/>
    <w:rsid w:val="00435938"/>
    <w:rsid w:val="00435A7C"/>
    <w:rsid w:val="004364DA"/>
    <w:rsid w:val="00437672"/>
    <w:rsid w:val="0043796F"/>
    <w:rsid w:val="00437C49"/>
    <w:rsid w:val="004405F0"/>
    <w:rsid w:val="0044085C"/>
    <w:rsid w:val="00440B4E"/>
    <w:rsid w:val="00441397"/>
    <w:rsid w:val="0044147E"/>
    <w:rsid w:val="0044176F"/>
    <w:rsid w:val="00441969"/>
    <w:rsid w:val="00442511"/>
    <w:rsid w:val="00442C02"/>
    <w:rsid w:val="004438AB"/>
    <w:rsid w:val="0044396E"/>
    <w:rsid w:val="00443973"/>
    <w:rsid w:val="004445AC"/>
    <w:rsid w:val="00445207"/>
    <w:rsid w:val="00445864"/>
    <w:rsid w:val="00445D4E"/>
    <w:rsid w:val="004463A5"/>
    <w:rsid w:val="00446F9A"/>
    <w:rsid w:val="004473FF"/>
    <w:rsid w:val="00447B20"/>
    <w:rsid w:val="00447E23"/>
    <w:rsid w:val="00450389"/>
    <w:rsid w:val="0045121B"/>
    <w:rsid w:val="004515DC"/>
    <w:rsid w:val="004518CE"/>
    <w:rsid w:val="00451FB2"/>
    <w:rsid w:val="004520EF"/>
    <w:rsid w:val="0045287C"/>
    <w:rsid w:val="00453126"/>
    <w:rsid w:val="004539DE"/>
    <w:rsid w:val="00453A92"/>
    <w:rsid w:val="00453D08"/>
    <w:rsid w:val="00455AEB"/>
    <w:rsid w:val="00456291"/>
    <w:rsid w:val="00456309"/>
    <w:rsid w:val="00456363"/>
    <w:rsid w:val="004564EF"/>
    <w:rsid w:val="004569AA"/>
    <w:rsid w:val="004575B3"/>
    <w:rsid w:val="00457D7D"/>
    <w:rsid w:val="00460574"/>
    <w:rsid w:val="00460700"/>
    <w:rsid w:val="00460E6B"/>
    <w:rsid w:val="00461012"/>
    <w:rsid w:val="00461784"/>
    <w:rsid w:val="004617C5"/>
    <w:rsid w:val="0046225F"/>
    <w:rsid w:val="004625C1"/>
    <w:rsid w:val="00462962"/>
    <w:rsid w:val="004639F7"/>
    <w:rsid w:val="00463A92"/>
    <w:rsid w:val="00463D27"/>
    <w:rsid w:val="00463EB8"/>
    <w:rsid w:val="004654F5"/>
    <w:rsid w:val="00465FDE"/>
    <w:rsid w:val="0046602A"/>
    <w:rsid w:val="00466275"/>
    <w:rsid w:val="0046760F"/>
    <w:rsid w:val="004676A4"/>
    <w:rsid w:val="0046791C"/>
    <w:rsid w:val="00467B6F"/>
    <w:rsid w:val="00467C65"/>
    <w:rsid w:val="00471031"/>
    <w:rsid w:val="00471160"/>
    <w:rsid w:val="004729B4"/>
    <w:rsid w:val="00472AB9"/>
    <w:rsid w:val="004742F0"/>
    <w:rsid w:val="0047430D"/>
    <w:rsid w:val="004754C0"/>
    <w:rsid w:val="00475A0B"/>
    <w:rsid w:val="00475C4A"/>
    <w:rsid w:val="0047656C"/>
    <w:rsid w:val="0047672A"/>
    <w:rsid w:val="00477510"/>
    <w:rsid w:val="00477959"/>
    <w:rsid w:val="00477B63"/>
    <w:rsid w:val="00480AAF"/>
    <w:rsid w:val="00481663"/>
    <w:rsid w:val="004820C4"/>
    <w:rsid w:val="004823A6"/>
    <w:rsid w:val="00483213"/>
    <w:rsid w:val="004837CF"/>
    <w:rsid w:val="00483BA9"/>
    <w:rsid w:val="00483C7C"/>
    <w:rsid w:val="00483F08"/>
    <w:rsid w:val="00484165"/>
    <w:rsid w:val="004841A6"/>
    <w:rsid w:val="0048459A"/>
    <w:rsid w:val="00484842"/>
    <w:rsid w:val="00484B7C"/>
    <w:rsid w:val="00484B80"/>
    <w:rsid w:val="00484B86"/>
    <w:rsid w:val="00484CE5"/>
    <w:rsid w:val="00484DDD"/>
    <w:rsid w:val="00485259"/>
    <w:rsid w:val="00486C90"/>
    <w:rsid w:val="0048701A"/>
    <w:rsid w:val="004876ED"/>
    <w:rsid w:val="00487F39"/>
    <w:rsid w:val="004902E7"/>
    <w:rsid w:val="00490752"/>
    <w:rsid w:val="00490D55"/>
    <w:rsid w:val="004917A7"/>
    <w:rsid w:val="004919C2"/>
    <w:rsid w:val="00491A8E"/>
    <w:rsid w:val="00492874"/>
    <w:rsid w:val="004934AA"/>
    <w:rsid w:val="00494795"/>
    <w:rsid w:val="004949A4"/>
    <w:rsid w:val="004949CE"/>
    <w:rsid w:val="00494D0C"/>
    <w:rsid w:val="00494F33"/>
    <w:rsid w:val="004950DA"/>
    <w:rsid w:val="00496CEF"/>
    <w:rsid w:val="00497A4D"/>
    <w:rsid w:val="00497D1B"/>
    <w:rsid w:val="004A049B"/>
    <w:rsid w:val="004A0820"/>
    <w:rsid w:val="004A0C24"/>
    <w:rsid w:val="004A0D0D"/>
    <w:rsid w:val="004A2BFF"/>
    <w:rsid w:val="004A3C95"/>
    <w:rsid w:val="004A490B"/>
    <w:rsid w:val="004A4E31"/>
    <w:rsid w:val="004A529B"/>
    <w:rsid w:val="004A5380"/>
    <w:rsid w:val="004A5F72"/>
    <w:rsid w:val="004A5F85"/>
    <w:rsid w:val="004A638C"/>
    <w:rsid w:val="004A715E"/>
    <w:rsid w:val="004A7195"/>
    <w:rsid w:val="004A7262"/>
    <w:rsid w:val="004A7A56"/>
    <w:rsid w:val="004A7BE6"/>
    <w:rsid w:val="004A7BFF"/>
    <w:rsid w:val="004A7DC8"/>
    <w:rsid w:val="004B01C3"/>
    <w:rsid w:val="004B0238"/>
    <w:rsid w:val="004B0BBF"/>
    <w:rsid w:val="004B1B84"/>
    <w:rsid w:val="004B1B8A"/>
    <w:rsid w:val="004B21BE"/>
    <w:rsid w:val="004B21CD"/>
    <w:rsid w:val="004B3C07"/>
    <w:rsid w:val="004B4631"/>
    <w:rsid w:val="004B4B7B"/>
    <w:rsid w:val="004B4FB8"/>
    <w:rsid w:val="004B54E1"/>
    <w:rsid w:val="004B57E5"/>
    <w:rsid w:val="004B59DF"/>
    <w:rsid w:val="004B5AB3"/>
    <w:rsid w:val="004B60A3"/>
    <w:rsid w:val="004B7890"/>
    <w:rsid w:val="004C14EA"/>
    <w:rsid w:val="004C1C01"/>
    <w:rsid w:val="004C1D59"/>
    <w:rsid w:val="004C2621"/>
    <w:rsid w:val="004C27C8"/>
    <w:rsid w:val="004C28F3"/>
    <w:rsid w:val="004C3034"/>
    <w:rsid w:val="004C3111"/>
    <w:rsid w:val="004C365B"/>
    <w:rsid w:val="004C37BA"/>
    <w:rsid w:val="004C3865"/>
    <w:rsid w:val="004C42DE"/>
    <w:rsid w:val="004C4392"/>
    <w:rsid w:val="004C48F4"/>
    <w:rsid w:val="004C4A95"/>
    <w:rsid w:val="004C4FE0"/>
    <w:rsid w:val="004C58DB"/>
    <w:rsid w:val="004C665C"/>
    <w:rsid w:val="004C717A"/>
    <w:rsid w:val="004C78F8"/>
    <w:rsid w:val="004C7AA4"/>
    <w:rsid w:val="004C7BE1"/>
    <w:rsid w:val="004C7F1B"/>
    <w:rsid w:val="004D025E"/>
    <w:rsid w:val="004D0760"/>
    <w:rsid w:val="004D13BB"/>
    <w:rsid w:val="004D1A61"/>
    <w:rsid w:val="004D1D7B"/>
    <w:rsid w:val="004D1E4A"/>
    <w:rsid w:val="004D1FDE"/>
    <w:rsid w:val="004D208A"/>
    <w:rsid w:val="004D3FCF"/>
    <w:rsid w:val="004D6973"/>
    <w:rsid w:val="004D7AE9"/>
    <w:rsid w:val="004D7F03"/>
    <w:rsid w:val="004E0537"/>
    <w:rsid w:val="004E0BF5"/>
    <w:rsid w:val="004E0D0D"/>
    <w:rsid w:val="004E0E3A"/>
    <w:rsid w:val="004E1482"/>
    <w:rsid w:val="004E33C0"/>
    <w:rsid w:val="004E470D"/>
    <w:rsid w:val="004E4AF7"/>
    <w:rsid w:val="004E5272"/>
    <w:rsid w:val="004E5B01"/>
    <w:rsid w:val="004E6038"/>
    <w:rsid w:val="004E635A"/>
    <w:rsid w:val="004E6A8D"/>
    <w:rsid w:val="004E7A84"/>
    <w:rsid w:val="004F04D8"/>
    <w:rsid w:val="004F060F"/>
    <w:rsid w:val="004F0761"/>
    <w:rsid w:val="004F0806"/>
    <w:rsid w:val="004F1782"/>
    <w:rsid w:val="004F1BF3"/>
    <w:rsid w:val="004F29C8"/>
    <w:rsid w:val="004F2E29"/>
    <w:rsid w:val="004F3798"/>
    <w:rsid w:val="004F3C82"/>
    <w:rsid w:val="004F3F1A"/>
    <w:rsid w:val="004F48A1"/>
    <w:rsid w:val="004F4A70"/>
    <w:rsid w:val="004F4D0F"/>
    <w:rsid w:val="004F4D6C"/>
    <w:rsid w:val="004F6368"/>
    <w:rsid w:val="004F65F8"/>
    <w:rsid w:val="004F6A40"/>
    <w:rsid w:val="004F6A9D"/>
    <w:rsid w:val="004F6F0B"/>
    <w:rsid w:val="004F779F"/>
    <w:rsid w:val="004F7A7D"/>
    <w:rsid w:val="00500863"/>
    <w:rsid w:val="005008CA"/>
    <w:rsid w:val="00500C87"/>
    <w:rsid w:val="00500FFD"/>
    <w:rsid w:val="00501598"/>
    <w:rsid w:val="00501B56"/>
    <w:rsid w:val="00501F74"/>
    <w:rsid w:val="005029DF"/>
    <w:rsid w:val="00502FC5"/>
    <w:rsid w:val="00503A85"/>
    <w:rsid w:val="00503D26"/>
    <w:rsid w:val="00504E2E"/>
    <w:rsid w:val="0050548B"/>
    <w:rsid w:val="00505BC6"/>
    <w:rsid w:val="00505DF3"/>
    <w:rsid w:val="005063D0"/>
    <w:rsid w:val="00506C21"/>
    <w:rsid w:val="005072AA"/>
    <w:rsid w:val="005073FF"/>
    <w:rsid w:val="0050773B"/>
    <w:rsid w:val="00507FF5"/>
    <w:rsid w:val="005101B7"/>
    <w:rsid w:val="0051070C"/>
    <w:rsid w:val="00510D5C"/>
    <w:rsid w:val="00511048"/>
    <w:rsid w:val="005119F0"/>
    <w:rsid w:val="00511CD6"/>
    <w:rsid w:val="00513208"/>
    <w:rsid w:val="005133F4"/>
    <w:rsid w:val="00513412"/>
    <w:rsid w:val="00514049"/>
    <w:rsid w:val="005149EE"/>
    <w:rsid w:val="005156CD"/>
    <w:rsid w:val="005159AD"/>
    <w:rsid w:val="00515F84"/>
    <w:rsid w:val="00516765"/>
    <w:rsid w:val="005171DB"/>
    <w:rsid w:val="005177E5"/>
    <w:rsid w:val="00517EC1"/>
    <w:rsid w:val="0052021B"/>
    <w:rsid w:val="00520293"/>
    <w:rsid w:val="00520837"/>
    <w:rsid w:val="005208F4"/>
    <w:rsid w:val="00520A56"/>
    <w:rsid w:val="00520AB6"/>
    <w:rsid w:val="00520B0A"/>
    <w:rsid w:val="00520E9A"/>
    <w:rsid w:val="005212EC"/>
    <w:rsid w:val="00521B4D"/>
    <w:rsid w:val="00521C96"/>
    <w:rsid w:val="00522112"/>
    <w:rsid w:val="0052235B"/>
    <w:rsid w:val="0052416E"/>
    <w:rsid w:val="005243DC"/>
    <w:rsid w:val="00524FD5"/>
    <w:rsid w:val="005250EC"/>
    <w:rsid w:val="0052581D"/>
    <w:rsid w:val="00525889"/>
    <w:rsid w:val="00525AB0"/>
    <w:rsid w:val="0052733B"/>
    <w:rsid w:val="0053092A"/>
    <w:rsid w:val="00531578"/>
    <w:rsid w:val="005317BC"/>
    <w:rsid w:val="00531874"/>
    <w:rsid w:val="0053198E"/>
    <w:rsid w:val="00532E23"/>
    <w:rsid w:val="005360F7"/>
    <w:rsid w:val="005368B8"/>
    <w:rsid w:val="00537965"/>
    <w:rsid w:val="00537ABE"/>
    <w:rsid w:val="00540088"/>
    <w:rsid w:val="005408C7"/>
    <w:rsid w:val="00540A4D"/>
    <w:rsid w:val="00540C0D"/>
    <w:rsid w:val="00541149"/>
    <w:rsid w:val="00541652"/>
    <w:rsid w:val="005420C3"/>
    <w:rsid w:val="00543E76"/>
    <w:rsid w:val="00544255"/>
    <w:rsid w:val="00544559"/>
    <w:rsid w:val="00544C1A"/>
    <w:rsid w:val="00545206"/>
    <w:rsid w:val="00545523"/>
    <w:rsid w:val="00545EEA"/>
    <w:rsid w:val="00546603"/>
    <w:rsid w:val="00546BC0"/>
    <w:rsid w:val="00547235"/>
    <w:rsid w:val="00547956"/>
    <w:rsid w:val="0054799E"/>
    <w:rsid w:val="00547D00"/>
    <w:rsid w:val="00550222"/>
    <w:rsid w:val="00550498"/>
    <w:rsid w:val="00550704"/>
    <w:rsid w:val="00550879"/>
    <w:rsid w:val="00550A2B"/>
    <w:rsid w:val="00550C9E"/>
    <w:rsid w:val="00551233"/>
    <w:rsid w:val="00551CF4"/>
    <w:rsid w:val="00551D1A"/>
    <w:rsid w:val="0055211E"/>
    <w:rsid w:val="00552344"/>
    <w:rsid w:val="00552417"/>
    <w:rsid w:val="00552F01"/>
    <w:rsid w:val="00552F10"/>
    <w:rsid w:val="005530DA"/>
    <w:rsid w:val="00553F2A"/>
    <w:rsid w:val="0055589D"/>
    <w:rsid w:val="00557374"/>
    <w:rsid w:val="00557475"/>
    <w:rsid w:val="0056042D"/>
    <w:rsid w:val="00561070"/>
    <w:rsid w:val="005612EB"/>
    <w:rsid w:val="00562B13"/>
    <w:rsid w:val="0056336E"/>
    <w:rsid w:val="005634CC"/>
    <w:rsid w:val="005636FD"/>
    <w:rsid w:val="00563CE5"/>
    <w:rsid w:val="00563E92"/>
    <w:rsid w:val="00564CAA"/>
    <w:rsid w:val="00565015"/>
    <w:rsid w:val="005652C6"/>
    <w:rsid w:val="0056541E"/>
    <w:rsid w:val="00565427"/>
    <w:rsid w:val="00565B1D"/>
    <w:rsid w:val="00566426"/>
    <w:rsid w:val="00566A8B"/>
    <w:rsid w:val="00566D71"/>
    <w:rsid w:val="00567767"/>
    <w:rsid w:val="00567A0D"/>
    <w:rsid w:val="00570040"/>
    <w:rsid w:val="005703AB"/>
    <w:rsid w:val="00570723"/>
    <w:rsid w:val="00570B61"/>
    <w:rsid w:val="00570CF6"/>
    <w:rsid w:val="00571066"/>
    <w:rsid w:val="0057126C"/>
    <w:rsid w:val="005717FC"/>
    <w:rsid w:val="00571C14"/>
    <w:rsid w:val="00572196"/>
    <w:rsid w:val="0057239B"/>
    <w:rsid w:val="00572F57"/>
    <w:rsid w:val="005741E4"/>
    <w:rsid w:val="00574C74"/>
    <w:rsid w:val="00574EBA"/>
    <w:rsid w:val="00575B96"/>
    <w:rsid w:val="00575CF4"/>
    <w:rsid w:val="00576387"/>
    <w:rsid w:val="00576D0F"/>
    <w:rsid w:val="00576D1D"/>
    <w:rsid w:val="00577389"/>
    <w:rsid w:val="00577FDA"/>
    <w:rsid w:val="00580872"/>
    <w:rsid w:val="00580909"/>
    <w:rsid w:val="00580987"/>
    <w:rsid w:val="00580E0F"/>
    <w:rsid w:val="00580E97"/>
    <w:rsid w:val="00580F60"/>
    <w:rsid w:val="00581282"/>
    <w:rsid w:val="005816CC"/>
    <w:rsid w:val="00582639"/>
    <w:rsid w:val="00582ACC"/>
    <w:rsid w:val="00582E1E"/>
    <w:rsid w:val="00582E6F"/>
    <w:rsid w:val="00582F8A"/>
    <w:rsid w:val="00582FC7"/>
    <w:rsid w:val="00583483"/>
    <w:rsid w:val="005841B5"/>
    <w:rsid w:val="00584CB2"/>
    <w:rsid w:val="00585633"/>
    <w:rsid w:val="00585DBE"/>
    <w:rsid w:val="005861BA"/>
    <w:rsid w:val="0058661F"/>
    <w:rsid w:val="00586C8F"/>
    <w:rsid w:val="00586DDD"/>
    <w:rsid w:val="0058783F"/>
    <w:rsid w:val="00587944"/>
    <w:rsid w:val="00587DA7"/>
    <w:rsid w:val="0059066A"/>
    <w:rsid w:val="00590D0A"/>
    <w:rsid w:val="005916C3"/>
    <w:rsid w:val="00591FDC"/>
    <w:rsid w:val="005926F6"/>
    <w:rsid w:val="00592A0D"/>
    <w:rsid w:val="00593339"/>
    <w:rsid w:val="005937A4"/>
    <w:rsid w:val="00593F92"/>
    <w:rsid w:val="005940AE"/>
    <w:rsid w:val="00594D25"/>
    <w:rsid w:val="00594E83"/>
    <w:rsid w:val="0059524C"/>
    <w:rsid w:val="005958C4"/>
    <w:rsid w:val="00595FF6"/>
    <w:rsid w:val="005966D4"/>
    <w:rsid w:val="0059677B"/>
    <w:rsid w:val="0059741A"/>
    <w:rsid w:val="005A0299"/>
    <w:rsid w:val="005A052B"/>
    <w:rsid w:val="005A0E29"/>
    <w:rsid w:val="005A0E9B"/>
    <w:rsid w:val="005A15BF"/>
    <w:rsid w:val="005A167B"/>
    <w:rsid w:val="005A1C27"/>
    <w:rsid w:val="005A1F04"/>
    <w:rsid w:val="005A2CEF"/>
    <w:rsid w:val="005A2E9C"/>
    <w:rsid w:val="005A347E"/>
    <w:rsid w:val="005A3AED"/>
    <w:rsid w:val="005A3CC0"/>
    <w:rsid w:val="005A40DC"/>
    <w:rsid w:val="005A4C4B"/>
    <w:rsid w:val="005A4F92"/>
    <w:rsid w:val="005A58FC"/>
    <w:rsid w:val="005A66C5"/>
    <w:rsid w:val="005A6745"/>
    <w:rsid w:val="005A67E1"/>
    <w:rsid w:val="005A6F4E"/>
    <w:rsid w:val="005A74BC"/>
    <w:rsid w:val="005A7B69"/>
    <w:rsid w:val="005A7BB3"/>
    <w:rsid w:val="005B02E7"/>
    <w:rsid w:val="005B0ED6"/>
    <w:rsid w:val="005B1130"/>
    <w:rsid w:val="005B2176"/>
    <w:rsid w:val="005B2C5B"/>
    <w:rsid w:val="005B2D9D"/>
    <w:rsid w:val="005B2E63"/>
    <w:rsid w:val="005B5BB7"/>
    <w:rsid w:val="005B5DDB"/>
    <w:rsid w:val="005B62EF"/>
    <w:rsid w:val="005B686B"/>
    <w:rsid w:val="005B694A"/>
    <w:rsid w:val="005B6BD2"/>
    <w:rsid w:val="005B7008"/>
    <w:rsid w:val="005B7155"/>
    <w:rsid w:val="005B78FE"/>
    <w:rsid w:val="005C06BF"/>
    <w:rsid w:val="005C173C"/>
    <w:rsid w:val="005C25E7"/>
    <w:rsid w:val="005C28AB"/>
    <w:rsid w:val="005C2D6C"/>
    <w:rsid w:val="005C2DA0"/>
    <w:rsid w:val="005C2E48"/>
    <w:rsid w:val="005C3AD6"/>
    <w:rsid w:val="005C3FE5"/>
    <w:rsid w:val="005C443C"/>
    <w:rsid w:val="005C4ADA"/>
    <w:rsid w:val="005C4EDF"/>
    <w:rsid w:val="005C50BA"/>
    <w:rsid w:val="005C537E"/>
    <w:rsid w:val="005C5BC1"/>
    <w:rsid w:val="005C63E6"/>
    <w:rsid w:val="005C769A"/>
    <w:rsid w:val="005D0651"/>
    <w:rsid w:val="005D0AEE"/>
    <w:rsid w:val="005D0D70"/>
    <w:rsid w:val="005D1062"/>
    <w:rsid w:val="005D1AEC"/>
    <w:rsid w:val="005D1CD1"/>
    <w:rsid w:val="005D252D"/>
    <w:rsid w:val="005D272E"/>
    <w:rsid w:val="005D3973"/>
    <w:rsid w:val="005D3EC7"/>
    <w:rsid w:val="005D423D"/>
    <w:rsid w:val="005D4AD7"/>
    <w:rsid w:val="005D4D7A"/>
    <w:rsid w:val="005D4DFE"/>
    <w:rsid w:val="005D5014"/>
    <w:rsid w:val="005D52CB"/>
    <w:rsid w:val="005D580F"/>
    <w:rsid w:val="005D5D5F"/>
    <w:rsid w:val="005D6B1B"/>
    <w:rsid w:val="005D72B3"/>
    <w:rsid w:val="005D73B9"/>
    <w:rsid w:val="005D765A"/>
    <w:rsid w:val="005D7982"/>
    <w:rsid w:val="005D7F8D"/>
    <w:rsid w:val="005E002B"/>
    <w:rsid w:val="005E01A9"/>
    <w:rsid w:val="005E07EE"/>
    <w:rsid w:val="005E154B"/>
    <w:rsid w:val="005E2055"/>
    <w:rsid w:val="005E228F"/>
    <w:rsid w:val="005E255D"/>
    <w:rsid w:val="005E2F32"/>
    <w:rsid w:val="005E32E8"/>
    <w:rsid w:val="005E38E9"/>
    <w:rsid w:val="005E44D3"/>
    <w:rsid w:val="005E5235"/>
    <w:rsid w:val="005E5AAE"/>
    <w:rsid w:val="005E5CE0"/>
    <w:rsid w:val="005E5D3F"/>
    <w:rsid w:val="005E6E43"/>
    <w:rsid w:val="005E723C"/>
    <w:rsid w:val="005E7A32"/>
    <w:rsid w:val="005F0034"/>
    <w:rsid w:val="005F0D87"/>
    <w:rsid w:val="005F1496"/>
    <w:rsid w:val="005F18BB"/>
    <w:rsid w:val="005F1C66"/>
    <w:rsid w:val="005F25C0"/>
    <w:rsid w:val="005F27C5"/>
    <w:rsid w:val="005F2C29"/>
    <w:rsid w:val="005F2C67"/>
    <w:rsid w:val="005F30C2"/>
    <w:rsid w:val="005F3632"/>
    <w:rsid w:val="005F4005"/>
    <w:rsid w:val="005F4023"/>
    <w:rsid w:val="005F44A0"/>
    <w:rsid w:val="005F4597"/>
    <w:rsid w:val="005F5146"/>
    <w:rsid w:val="005F554A"/>
    <w:rsid w:val="005F5D38"/>
    <w:rsid w:val="005F5F9E"/>
    <w:rsid w:val="005F63A7"/>
    <w:rsid w:val="005F6582"/>
    <w:rsid w:val="005F6AA5"/>
    <w:rsid w:val="005F7D0D"/>
    <w:rsid w:val="00600C03"/>
    <w:rsid w:val="00600E01"/>
    <w:rsid w:val="00600F80"/>
    <w:rsid w:val="006010D6"/>
    <w:rsid w:val="00601CD6"/>
    <w:rsid w:val="006026D5"/>
    <w:rsid w:val="00602844"/>
    <w:rsid w:val="00602F48"/>
    <w:rsid w:val="0060352D"/>
    <w:rsid w:val="006036A2"/>
    <w:rsid w:val="00604841"/>
    <w:rsid w:val="00605783"/>
    <w:rsid w:val="00607146"/>
    <w:rsid w:val="00607674"/>
    <w:rsid w:val="006078AD"/>
    <w:rsid w:val="00607C90"/>
    <w:rsid w:val="00610C4F"/>
    <w:rsid w:val="006117E5"/>
    <w:rsid w:val="006119EE"/>
    <w:rsid w:val="00611C55"/>
    <w:rsid w:val="00611EA4"/>
    <w:rsid w:val="006124B1"/>
    <w:rsid w:val="00612F1B"/>
    <w:rsid w:val="006130BE"/>
    <w:rsid w:val="00613D1F"/>
    <w:rsid w:val="00614EEF"/>
    <w:rsid w:val="0061516B"/>
    <w:rsid w:val="00615544"/>
    <w:rsid w:val="006163D9"/>
    <w:rsid w:val="00616612"/>
    <w:rsid w:val="0061746E"/>
    <w:rsid w:val="00617777"/>
    <w:rsid w:val="006177E2"/>
    <w:rsid w:val="00617FF0"/>
    <w:rsid w:val="00620FAA"/>
    <w:rsid w:val="0062114C"/>
    <w:rsid w:val="00621810"/>
    <w:rsid w:val="00621C4B"/>
    <w:rsid w:val="00621D84"/>
    <w:rsid w:val="006224E7"/>
    <w:rsid w:val="0062290C"/>
    <w:rsid w:val="006233D3"/>
    <w:rsid w:val="00623A65"/>
    <w:rsid w:val="00624922"/>
    <w:rsid w:val="00624BDA"/>
    <w:rsid w:val="00625C0F"/>
    <w:rsid w:val="006265C8"/>
    <w:rsid w:val="006267F9"/>
    <w:rsid w:val="00626FDB"/>
    <w:rsid w:val="006270EE"/>
    <w:rsid w:val="00627A23"/>
    <w:rsid w:val="006305A1"/>
    <w:rsid w:val="00630D23"/>
    <w:rsid w:val="00631249"/>
    <w:rsid w:val="00631BA6"/>
    <w:rsid w:val="00631FBE"/>
    <w:rsid w:val="00632C49"/>
    <w:rsid w:val="00632D5F"/>
    <w:rsid w:val="006330E0"/>
    <w:rsid w:val="006333C6"/>
    <w:rsid w:val="00633952"/>
    <w:rsid w:val="0063410F"/>
    <w:rsid w:val="00634EFF"/>
    <w:rsid w:val="00634FED"/>
    <w:rsid w:val="00635132"/>
    <w:rsid w:val="00635535"/>
    <w:rsid w:val="00635607"/>
    <w:rsid w:val="006357F3"/>
    <w:rsid w:val="00635991"/>
    <w:rsid w:val="00635A77"/>
    <w:rsid w:val="00635DDB"/>
    <w:rsid w:val="0063628C"/>
    <w:rsid w:val="00636721"/>
    <w:rsid w:val="00637001"/>
    <w:rsid w:val="006370B4"/>
    <w:rsid w:val="0064007D"/>
    <w:rsid w:val="006400A3"/>
    <w:rsid w:val="00640D59"/>
    <w:rsid w:val="00640F7B"/>
    <w:rsid w:val="006412A4"/>
    <w:rsid w:val="006415C1"/>
    <w:rsid w:val="0064194F"/>
    <w:rsid w:val="00642602"/>
    <w:rsid w:val="006426A9"/>
    <w:rsid w:val="006426CA"/>
    <w:rsid w:val="006429D8"/>
    <w:rsid w:val="00642B81"/>
    <w:rsid w:val="00644199"/>
    <w:rsid w:val="00644873"/>
    <w:rsid w:val="0064576F"/>
    <w:rsid w:val="00645DD3"/>
    <w:rsid w:val="00646059"/>
    <w:rsid w:val="006464E5"/>
    <w:rsid w:val="006467C6"/>
    <w:rsid w:val="00646AEE"/>
    <w:rsid w:val="0064707E"/>
    <w:rsid w:val="0064718D"/>
    <w:rsid w:val="006502A1"/>
    <w:rsid w:val="00650D70"/>
    <w:rsid w:val="0065157E"/>
    <w:rsid w:val="0065198D"/>
    <w:rsid w:val="00651A67"/>
    <w:rsid w:val="006525E5"/>
    <w:rsid w:val="00652642"/>
    <w:rsid w:val="0065315D"/>
    <w:rsid w:val="006536A7"/>
    <w:rsid w:val="00653846"/>
    <w:rsid w:val="00653A3A"/>
    <w:rsid w:val="00654754"/>
    <w:rsid w:val="00654760"/>
    <w:rsid w:val="006551C5"/>
    <w:rsid w:val="00655332"/>
    <w:rsid w:val="00655D31"/>
    <w:rsid w:val="00656366"/>
    <w:rsid w:val="006564D8"/>
    <w:rsid w:val="00656675"/>
    <w:rsid w:val="00656AAA"/>
    <w:rsid w:val="00656BE1"/>
    <w:rsid w:val="00657B07"/>
    <w:rsid w:val="00660109"/>
    <w:rsid w:val="00660455"/>
    <w:rsid w:val="006607DC"/>
    <w:rsid w:val="00662525"/>
    <w:rsid w:val="00662563"/>
    <w:rsid w:val="0066377C"/>
    <w:rsid w:val="00663CAD"/>
    <w:rsid w:val="00664618"/>
    <w:rsid w:val="00664D21"/>
    <w:rsid w:val="00664D8D"/>
    <w:rsid w:val="00664FD6"/>
    <w:rsid w:val="00665115"/>
    <w:rsid w:val="00665B56"/>
    <w:rsid w:val="00665D11"/>
    <w:rsid w:val="006668FC"/>
    <w:rsid w:val="00667090"/>
    <w:rsid w:val="00667894"/>
    <w:rsid w:val="00670A5C"/>
    <w:rsid w:val="00670A73"/>
    <w:rsid w:val="006719FF"/>
    <w:rsid w:val="00671C3A"/>
    <w:rsid w:val="00671F41"/>
    <w:rsid w:val="006724CD"/>
    <w:rsid w:val="00672747"/>
    <w:rsid w:val="00672C30"/>
    <w:rsid w:val="00673BE1"/>
    <w:rsid w:val="00675FEC"/>
    <w:rsid w:val="00676288"/>
    <w:rsid w:val="00676712"/>
    <w:rsid w:val="00677511"/>
    <w:rsid w:val="00680143"/>
    <w:rsid w:val="006801AD"/>
    <w:rsid w:val="00680FF5"/>
    <w:rsid w:val="00681303"/>
    <w:rsid w:val="006818D8"/>
    <w:rsid w:val="006818F3"/>
    <w:rsid w:val="006819F8"/>
    <w:rsid w:val="006839A4"/>
    <w:rsid w:val="00684219"/>
    <w:rsid w:val="00685861"/>
    <w:rsid w:val="00686223"/>
    <w:rsid w:val="0068629D"/>
    <w:rsid w:val="006867F9"/>
    <w:rsid w:val="00686D71"/>
    <w:rsid w:val="006871C8"/>
    <w:rsid w:val="0068734D"/>
    <w:rsid w:val="00690410"/>
    <w:rsid w:val="006914C8"/>
    <w:rsid w:val="00691FFC"/>
    <w:rsid w:val="0069287B"/>
    <w:rsid w:val="00692BEF"/>
    <w:rsid w:val="00693929"/>
    <w:rsid w:val="006939F9"/>
    <w:rsid w:val="00693D66"/>
    <w:rsid w:val="006948CF"/>
    <w:rsid w:val="00694EA2"/>
    <w:rsid w:val="0069501D"/>
    <w:rsid w:val="006952ED"/>
    <w:rsid w:val="006961F5"/>
    <w:rsid w:val="00697335"/>
    <w:rsid w:val="00697E2D"/>
    <w:rsid w:val="00697E68"/>
    <w:rsid w:val="00697F30"/>
    <w:rsid w:val="006A0952"/>
    <w:rsid w:val="006A146B"/>
    <w:rsid w:val="006A1EC1"/>
    <w:rsid w:val="006A2AAB"/>
    <w:rsid w:val="006A2BE6"/>
    <w:rsid w:val="006A2D1A"/>
    <w:rsid w:val="006A3FAC"/>
    <w:rsid w:val="006A51B5"/>
    <w:rsid w:val="006A51BF"/>
    <w:rsid w:val="006A5689"/>
    <w:rsid w:val="006A5787"/>
    <w:rsid w:val="006A5A85"/>
    <w:rsid w:val="006A6039"/>
    <w:rsid w:val="006A6047"/>
    <w:rsid w:val="006A61A9"/>
    <w:rsid w:val="006A6823"/>
    <w:rsid w:val="006A71C2"/>
    <w:rsid w:val="006A761B"/>
    <w:rsid w:val="006A77FA"/>
    <w:rsid w:val="006A7F91"/>
    <w:rsid w:val="006B02AE"/>
    <w:rsid w:val="006B090B"/>
    <w:rsid w:val="006B0910"/>
    <w:rsid w:val="006B1AF9"/>
    <w:rsid w:val="006B1C4A"/>
    <w:rsid w:val="006B27CE"/>
    <w:rsid w:val="006B2ED3"/>
    <w:rsid w:val="006B31DB"/>
    <w:rsid w:val="006B3CB6"/>
    <w:rsid w:val="006B44D2"/>
    <w:rsid w:val="006B470B"/>
    <w:rsid w:val="006B56A3"/>
    <w:rsid w:val="006B58AA"/>
    <w:rsid w:val="006B61A5"/>
    <w:rsid w:val="006B679B"/>
    <w:rsid w:val="006B767C"/>
    <w:rsid w:val="006B7A3A"/>
    <w:rsid w:val="006C1DBD"/>
    <w:rsid w:val="006C2D35"/>
    <w:rsid w:val="006C3347"/>
    <w:rsid w:val="006C380B"/>
    <w:rsid w:val="006C38CE"/>
    <w:rsid w:val="006C4104"/>
    <w:rsid w:val="006C42D8"/>
    <w:rsid w:val="006C5058"/>
    <w:rsid w:val="006C5494"/>
    <w:rsid w:val="006C578D"/>
    <w:rsid w:val="006C593D"/>
    <w:rsid w:val="006C5D68"/>
    <w:rsid w:val="006C619D"/>
    <w:rsid w:val="006C6391"/>
    <w:rsid w:val="006C6406"/>
    <w:rsid w:val="006C66F3"/>
    <w:rsid w:val="006C6BBB"/>
    <w:rsid w:val="006C71A3"/>
    <w:rsid w:val="006C75E1"/>
    <w:rsid w:val="006D0807"/>
    <w:rsid w:val="006D08DE"/>
    <w:rsid w:val="006D0B44"/>
    <w:rsid w:val="006D1445"/>
    <w:rsid w:val="006D284B"/>
    <w:rsid w:val="006D346D"/>
    <w:rsid w:val="006D3BCE"/>
    <w:rsid w:val="006D3D15"/>
    <w:rsid w:val="006D442A"/>
    <w:rsid w:val="006D4999"/>
    <w:rsid w:val="006D4C5D"/>
    <w:rsid w:val="006D4CE3"/>
    <w:rsid w:val="006D51E3"/>
    <w:rsid w:val="006D5223"/>
    <w:rsid w:val="006D53CC"/>
    <w:rsid w:val="006D5DEE"/>
    <w:rsid w:val="006D5E07"/>
    <w:rsid w:val="006D5F8B"/>
    <w:rsid w:val="006D7A70"/>
    <w:rsid w:val="006E0A19"/>
    <w:rsid w:val="006E0EAA"/>
    <w:rsid w:val="006E1146"/>
    <w:rsid w:val="006E2812"/>
    <w:rsid w:val="006E29E2"/>
    <w:rsid w:val="006E4E17"/>
    <w:rsid w:val="006E5C4E"/>
    <w:rsid w:val="006E7256"/>
    <w:rsid w:val="006E78E0"/>
    <w:rsid w:val="006E7BC0"/>
    <w:rsid w:val="006F0243"/>
    <w:rsid w:val="006F09CA"/>
    <w:rsid w:val="006F0AF3"/>
    <w:rsid w:val="006F120B"/>
    <w:rsid w:val="006F1356"/>
    <w:rsid w:val="006F1587"/>
    <w:rsid w:val="006F223F"/>
    <w:rsid w:val="006F334B"/>
    <w:rsid w:val="006F35C8"/>
    <w:rsid w:val="006F404B"/>
    <w:rsid w:val="006F4277"/>
    <w:rsid w:val="006F48B7"/>
    <w:rsid w:val="006F52DA"/>
    <w:rsid w:val="006F6575"/>
    <w:rsid w:val="006F6790"/>
    <w:rsid w:val="006F6EEB"/>
    <w:rsid w:val="006F7102"/>
    <w:rsid w:val="006F7346"/>
    <w:rsid w:val="006F7F3D"/>
    <w:rsid w:val="00700CCA"/>
    <w:rsid w:val="00701FD7"/>
    <w:rsid w:val="007020EE"/>
    <w:rsid w:val="0070227B"/>
    <w:rsid w:val="00703180"/>
    <w:rsid w:val="00703BEC"/>
    <w:rsid w:val="00703FBB"/>
    <w:rsid w:val="00704287"/>
    <w:rsid w:val="00704301"/>
    <w:rsid w:val="00705468"/>
    <w:rsid w:val="00705AA3"/>
    <w:rsid w:val="00705C8E"/>
    <w:rsid w:val="00705D99"/>
    <w:rsid w:val="00706342"/>
    <w:rsid w:val="007070DB"/>
    <w:rsid w:val="007071D5"/>
    <w:rsid w:val="007075EA"/>
    <w:rsid w:val="0071001E"/>
    <w:rsid w:val="007108C4"/>
    <w:rsid w:val="00710B91"/>
    <w:rsid w:val="00710BF1"/>
    <w:rsid w:val="00710C4E"/>
    <w:rsid w:val="0071108C"/>
    <w:rsid w:val="00711162"/>
    <w:rsid w:val="007111ED"/>
    <w:rsid w:val="0071158A"/>
    <w:rsid w:val="00711935"/>
    <w:rsid w:val="0071234C"/>
    <w:rsid w:val="00712562"/>
    <w:rsid w:val="007136CD"/>
    <w:rsid w:val="00713FAB"/>
    <w:rsid w:val="00714B8F"/>
    <w:rsid w:val="0071536C"/>
    <w:rsid w:val="00715A12"/>
    <w:rsid w:val="00715CA7"/>
    <w:rsid w:val="007163A5"/>
    <w:rsid w:val="007170ED"/>
    <w:rsid w:val="0071791A"/>
    <w:rsid w:val="00717B8C"/>
    <w:rsid w:val="00717BA7"/>
    <w:rsid w:val="00717DE5"/>
    <w:rsid w:val="00720524"/>
    <w:rsid w:val="00721A45"/>
    <w:rsid w:val="00721BD4"/>
    <w:rsid w:val="00721E89"/>
    <w:rsid w:val="007227DE"/>
    <w:rsid w:val="007230D3"/>
    <w:rsid w:val="0072363D"/>
    <w:rsid w:val="00723E8C"/>
    <w:rsid w:val="00723F99"/>
    <w:rsid w:val="00724797"/>
    <w:rsid w:val="0072504E"/>
    <w:rsid w:val="00726040"/>
    <w:rsid w:val="00726320"/>
    <w:rsid w:val="00726F2C"/>
    <w:rsid w:val="007270B6"/>
    <w:rsid w:val="00727238"/>
    <w:rsid w:val="007272E2"/>
    <w:rsid w:val="00727395"/>
    <w:rsid w:val="007312B0"/>
    <w:rsid w:val="00731A33"/>
    <w:rsid w:val="00731A7A"/>
    <w:rsid w:val="00731D56"/>
    <w:rsid w:val="007327B7"/>
    <w:rsid w:val="00733353"/>
    <w:rsid w:val="007333A1"/>
    <w:rsid w:val="00733D2A"/>
    <w:rsid w:val="007342CE"/>
    <w:rsid w:val="007345A0"/>
    <w:rsid w:val="007348E3"/>
    <w:rsid w:val="00734EF3"/>
    <w:rsid w:val="00735F22"/>
    <w:rsid w:val="00736240"/>
    <w:rsid w:val="007368C8"/>
    <w:rsid w:val="007375EC"/>
    <w:rsid w:val="00737E81"/>
    <w:rsid w:val="0074101E"/>
    <w:rsid w:val="007410EE"/>
    <w:rsid w:val="00741428"/>
    <w:rsid w:val="00741817"/>
    <w:rsid w:val="007422C6"/>
    <w:rsid w:val="0074267B"/>
    <w:rsid w:val="00742A37"/>
    <w:rsid w:val="00742BBE"/>
    <w:rsid w:val="00742C3E"/>
    <w:rsid w:val="00743486"/>
    <w:rsid w:val="00743845"/>
    <w:rsid w:val="0074438F"/>
    <w:rsid w:val="007447B7"/>
    <w:rsid w:val="00744806"/>
    <w:rsid w:val="00745D76"/>
    <w:rsid w:val="00745EF3"/>
    <w:rsid w:val="00746D48"/>
    <w:rsid w:val="00746EB2"/>
    <w:rsid w:val="00746FD9"/>
    <w:rsid w:val="00747D82"/>
    <w:rsid w:val="00747FEF"/>
    <w:rsid w:val="007501D0"/>
    <w:rsid w:val="007501E3"/>
    <w:rsid w:val="007508F4"/>
    <w:rsid w:val="00751E0A"/>
    <w:rsid w:val="00751F78"/>
    <w:rsid w:val="007532C7"/>
    <w:rsid w:val="007550EA"/>
    <w:rsid w:val="0075519E"/>
    <w:rsid w:val="007562B3"/>
    <w:rsid w:val="007565C6"/>
    <w:rsid w:val="00756A20"/>
    <w:rsid w:val="00756B2F"/>
    <w:rsid w:val="00756D35"/>
    <w:rsid w:val="00756FFB"/>
    <w:rsid w:val="00757D5C"/>
    <w:rsid w:val="00757F1B"/>
    <w:rsid w:val="00757F51"/>
    <w:rsid w:val="00760210"/>
    <w:rsid w:val="00760B99"/>
    <w:rsid w:val="00760C0F"/>
    <w:rsid w:val="00760DDC"/>
    <w:rsid w:val="00761106"/>
    <w:rsid w:val="00761548"/>
    <w:rsid w:val="00762322"/>
    <w:rsid w:val="0076246C"/>
    <w:rsid w:val="007625E4"/>
    <w:rsid w:val="007633D6"/>
    <w:rsid w:val="00763EDC"/>
    <w:rsid w:val="00764120"/>
    <w:rsid w:val="00764C15"/>
    <w:rsid w:val="00764DAD"/>
    <w:rsid w:val="0076524C"/>
    <w:rsid w:val="0076590D"/>
    <w:rsid w:val="00766280"/>
    <w:rsid w:val="00766429"/>
    <w:rsid w:val="00766630"/>
    <w:rsid w:val="007668AF"/>
    <w:rsid w:val="00767401"/>
    <w:rsid w:val="00767558"/>
    <w:rsid w:val="007678E2"/>
    <w:rsid w:val="007700C1"/>
    <w:rsid w:val="00770196"/>
    <w:rsid w:val="007708BB"/>
    <w:rsid w:val="00770BEB"/>
    <w:rsid w:val="00771096"/>
    <w:rsid w:val="0077150F"/>
    <w:rsid w:val="00772961"/>
    <w:rsid w:val="00773043"/>
    <w:rsid w:val="00773484"/>
    <w:rsid w:val="007735EF"/>
    <w:rsid w:val="0077375E"/>
    <w:rsid w:val="007745B8"/>
    <w:rsid w:val="00774AAD"/>
    <w:rsid w:val="00774AD6"/>
    <w:rsid w:val="00774BE3"/>
    <w:rsid w:val="00775EA8"/>
    <w:rsid w:val="00776C7E"/>
    <w:rsid w:val="007770DD"/>
    <w:rsid w:val="007772CB"/>
    <w:rsid w:val="00777D08"/>
    <w:rsid w:val="007803B1"/>
    <w:rsid w:val="00780995"/>
    <w:rsid w:val="00780BBA"/>
    <w:rsid w:val="00780FF4"/>
    <w:rsid w:val="00781301"/>
    <w:rsid w:val="00781476"/>
    <w:rsid w:val="00781D27"/>
    <w:rsid w:val="00782BC1"/>
    <w:rsid w:val="00782DD5"/>
    <w:rsid w:val="00782E42"/>
    <w:rsid w:val="00783435"/>
    <w:rsid w:val="00783D49"/>
    <w:rsid w:val="00784852"/>
    <w:rsid w:val="00784C05"/>
    <w:rsid w:val="00784E88"/>
    <w:rsid w:val="00785034"/>
    <w:rsid w:val="00785127"/>
    <w:rsid w:val="0078566B"/>
    <w:rsid w:val="007856FF"/>
    <w:rsid w:val="007860B9"/>
    <w:rsid w:val="00786750"/>
    <w:rsid w:val="00786D18"/>
    <w:rsid w:val="00786F8F"/>
    <w:rsid w:val="00787419"/>
    <w:rsid w:val="0078767F"/>
    <w:rsid w:val="00787C03"/>
    <w:rsid w:val="00787D27"/>
    <w:rsid w:val="00790716"/>
    <w:rsid w:val="00790BD8"/>
    <w:rsid w:val="00790F14"/>
    <w:rsid w:val="00791254"/>
    <w:rsid w:val="007915FF"/>
    <w:rsid w:val="00792607"/>
    <w:rsid w:val="00792633"/>
    <w:rsid w:val="0079270A"/>
    <w:rsid w:val="00793189"/>
    <w:rsid w:val="0079346C"/>
    <w:rsid w:val="007934C0"/>
    <w:rsid w:val="00793506"/>
    <w:rsid w:val="0079382D"/>
    <w:rsid w:val="007939C6"/>
    <w:rsid w:val="00793B11"/>
    <w:rsid w:val="00794031"/>
    <w:rsid w:val="00794E70"/>
    <w:rsid w:val="00795177"/>
    <w:rsid w:val="00795355"/>
    <w:rsid w:val="007960DF"/>
    <w:rsid w:val="00796C4B"/>
    <w:rsid w:val="007970B6"/>
    <w:rsid w:val="007A00AC"/>
    <w:rsid w:val="007A01AF"/>
    <w:rsid w:val="007A0AFF"/>
    <w:rsid w:val="007A0B38"/>
    <w:rsid w:val="007A0BBC"/>
    <w:rsid w:val="007A0D3D"/>
    <w:rsid w:val="007A1674"/>
    <w:rsid w:val="007A1BFA"/>
    <w:rsid w:val="007A212A"/>
    <w:rsid w:val="007A23FA"/>
    <w:rsid w:val="007A2723"/>
    <w:rsid w:val="007A2E39"/>
    <w:rsid w:val="007A2F1E"/>
    <w:rsid w:val="007A2FC3"/>
    <w:rsid w:val="007A33F7"/>
    <w:rsid w:val="007A3978"/>
    <w:rsid w:val="007A3E53"/>
    <w:rsid w:val="007A4032"/>
    <w:rsid w:val="007A460D"/>
    <w:rsid w:val="007A52F5"/>
    <w:rsid w:val="007A53CE"/>
    <w:rsid w:val="007A5B2F"/>
    <w:rsid w:val="007A6A8A"/>
    <w:rsid w:val="007A6B26"/>
    <w:rsid w:val="007A6B3B"/>
    <w:rsid w:val="007A6D93"/>
    <w:rsid w:val="007A7244"/>
    <w:rsid w:val="007A7340"/>
    <w:rsid w:val="007A7E6D"/>
    <w:rsid w:val="007B0217"/>
    <w:rsid w:val="007B0452"/>
    <w:rsid w:val="007B0CAF"/>
    <w:rsid w:val="007B156B"/>
    <w:rsid w:val="007B1886"/>
    <w:rsid w:val="007B1B52"/>
    <w:rsid w:val="007B2797"/>
    <w:rsid w:val="007B27E8"/>
    <w:rsid w:val="007B3AA5"/>
    <w:rsid w:val="007B41B8"/>
    <w:rsid w:val="007B4208"/>
    <w:rsid w:val="007B4EF0"/>
    <w:rsid w:val="007B4F50"/>
    <w:rsid w:val="007B4FE8"/>
    <w:rsid w:val="007B5D6F"/>
    <w:rsid w:val="007B662C"/>
    <w:rsid w:val="007B6841"/>
    <w:rsid w:val="007B6954"/>
    <w:rsid w:val="007B7805"/>
    <w:rsid w:val="007B7879"/>
    <w:rsid w:val="007B7BF1"/>
    <w:rsid w:val="007B7DF0"/>
    <w:rsid w:val="007C0063"/>
    <w:rsid w:val="007C0A6C"/>
    <w:rsid w:val="007C22BB"/>
    <w:rsid w:val="007C22CC"/>
    <w:rsid w:val="007C23D7"/>
    <w:rsid w:val="007C25E0"/>
    <w:rsid w:val="007C3034"/>
    <w:rsid w:val="007C36F5"/>
    <w:rsid w:val="007C4E5F"/>
    <w:rsid w:val="007C53C4"/>
    <w:rsid w:val="007C5C76"/>
    <w:rsid w:val="007C73ED"/>
    <w:rsid w:val="007C77B1"/>
    <w:rsid w:val="007C7F65"/>
    <w:rsid w:val="007D01F1"/>
    <w:rsid w:val="007D0333"/>
    <w:rsid w:val="007D0FA8"/>
    <w:rsid w:val="007D1045"/>
    <w:rsid w:val="007D177D"/>
    <w:rsid w:val="007D17ED"/>
    <w:rsid w:val="007D1A8A"/>
    <w:rsid w:val="007D267D"/>
    <w:rsid w:val="007D26AC"/>
    <w:rsid w:val="007D2CA8"/>
    <w:rsid w:val="007D3669"/>
    <w:rsid w:val="007D4228"/>
    <w:rsid w:val="007D4B77"/>
    <w:rsid w:val="007D4D72"/>
    <w:rsid w:val="007D5F54"/>
    <w:rsid w:val="007D68F7"/>
    <w:rsid w:val="007D6EB5"/>
    <w:rsid w:val="007D7284"/>
    <w:rsid w:val="007E0075"/>
    <w:rsid w:val="007E0280"/>
    <w:rsid w:val="007E0E3F"/>
    <w:rsid w:val="007E0EEB"/>
    <w:rsid w:val="007E1344"/>
    <w:rsid w:val="007E1648"/>
    <w:rsid w:val="007E18C7"/>
    <w:rsid w:val="007E1CB2"/>
    <w:rsid w:val="007E1EBD"/>
    <w:rsid w:val="007E2AAB"/>
    <w:rsid w:val="007E2E6A"/>
    <w:rsid w:val="007E3571"/>
    <w:rsid w:val="007E3891"/>
    <w:rsid w:val="007E40F4"/>
    <w:rsid w:val="007E4567"/>
    <w:rsid w:val="007E4E7C"/>
    <w:rsid w:val="007E5618"/>
    <w:rsid w:val="007E782E"/>
    <w:rsid w:val="007F16BC"/>
    <w:rsid w:val="007F18FF"/>
    <w:rsid w:val="007F23A6"/>
    <w:rsid w:val="007F2554"/>
    <w:rsid w:val="007F2F92"/>
    <w:rsid w:val="007F4398"/>
    <w:rsid w:val="007F517B"/>
    <w:rsid w:val="007F5D34"/>
    <w:rsid w:val="007F60AD"/>
    <w:rsid w:val="007F67F7"/>
    <w:rsid w:val="007F681C"/>
    <w:rsid w:val="007F70E9"/>
    <w:rsid w:val="007F7899"/>
    <w:rsid w:val="007F7D1E"/>
    <w:rsid w:val="00800B9D"/>
    <w:rsid w:val="00800D19"/>
    <w:rsid w:val="008011B6"/>
    <w:rsid w:val="00801382"/>
    <w:rsid w:val="00801D62"/>
    <w:rsid w:val="008020F2"/>
    <w:rsid w:val="00802AE5"/>
    <w:rsid w:val="0080462C"/>
    <w:rsid w:val="008048A8"/>
    <w:rsid w:val="008049F8"/>
    <w:rsid w:val="00804A3B"/>
    <w:rsid w:val="00804C85"/>
    <w:rsid w:val="00804DC2"/>
    <w:rsid w:val="008056BA"/>
    <w:rsid w:val="00806191"/>
    <w:rsid w:val="0080626C"/>
    <w:rsid w:val="00807624"/>
    <w:rsid w:val="008079DC"/>
    <w:rsid w:val="00807C4E"/>
    <w:rsid w:val="00807F05"/>
    <w:rsid w:val="0081008D"/>
    <w:rsid w:val="0081027D"/>
    <w:rsid w:val="00810AA4"/>
    <w:rsid w:val="00810E2B"/>
    <w:rsid w:val="00811418"/>
    <w:rsid w:val="00811FC1"/>
    <w:rsid w:val="008121E5"/>
    <w:rsid w:val="008123E9"/>
    <w:rsid w:val="00812694"/>
    <w:rsid w:val="00812C87"/>
    <w:rsid w:val="008131D1"/>
    <w:rsid w:val="008133F9"/>
    <w:rsid w:val="00814147"/>
    <w:rsid w:val="00814937"/>
    <w:rsid w:val="00815375"/>
    <w:rsid w:val="008155A9"/>
    <w:rsid w:val="008155F3"/>
    <w:rsid w:val="0081570D"/>
    <w:rsid w:val="008165CD"/>
    <w:rsid w:val="0081661B"/>
    <w:rsid w:val="00816744"/>
    <w:rsid w:val="008173F0"/>
    <w:rsid w:val="00817C35"/>
    <w:rsid w:val="00817E67"/>
    <w:rsid w:val="008207E2"/>
    <w:rsid w:val="00820A14"/>
    <w:rsid w:val="0082159B"/>
    <w:rsid w:val="00821709"/>
    <w:rsid w:val="0082173A"/>
    <w:rsid w:val="00822109"/>
    <w:rsid w:val="0082221C"/>
    <w:rsid w:val="00822945"/>
    <w:rsid w:val="00822CDB"/>
    <w:rsid w:val="00823385"/>
    <w:rsid w:val="008234C7"/>
    <w:rsid w:val="008234D8"/>
    <w:rsid w:val="00823BFC"/>
    <w:rsid w:val="008241B4"/>
    <w:rsid w:val="00824392"/>
    <w:rsid w:val="00824AAF"/>
    <w:rsid w:val="00824B5D"/>
    <w:rsid w:val="00826075"/>
    <w:rsid w:val="00826963"/>
    <w:rsid w:val="00826BB0"/>
    <w:rsid w:val="008277F9"/>
    <w:rsid w:val="00827C45"/>
    <w:rsid w:val="008301D8"/>
    <w:rsid w:val="008305E5"/>
    <w:rsid w:val="008308B4"/>
    <w:rsid w:val="00830EE5"/>
    <w:rsid w:val="0083108A"/>
    <w:rsid w:val="00831785"/>
    <w:rsid w:val="00831789"/>
    <w:rsid w:val="00832BFE"/>
    <w:rsid w:val="00832FA9"/>
    <w:rsid w:val="00833480"/>
    <w:rsid w:val="008359E5"/>
    <w:rsid w:val="00836B99"/>
    <w:rsid w:val="00836CA0"/>
    <w:rsid w:val="0083743A"/>
    <w:rsid w:val="00837810"/>
    <w:rsid w:val="00837B28"/>
    <w:rsid w:val="00840C07"/>
    <w:rsid w:val="0084188A"/>
    <w:rsid w:val="008418BD"/>
    <w:rsid w:val="00841DD1"/>
    <w:rsid w:val="00842E87"/>
    <w:rsid w:val="00842FD6"/>
    <w:rsid w:val="00843758"/>
    <w:rsid w:val="00843C70"/>
    <w:rsid w:val="00843D49"/>
    <w:rsid w:val="00845E78"/>
    <w:rsid w:val="008462ED"/>
    <w:rsid w:val="00847114"/>
    <w:rsid w:val="00847676"/>
    <w:rsid w:val="008505C1"/>
    <w:rsid w:val="00850947"/>
    <w:rsid w:val="00851336"/>
    <w:rsid w:val="0085192B"/>
    <w:rsid w:val="00851DC6"/>
    <w:rsid w:val="00851E90"/>
    <w:rsid w:val="008521B5"/>
    <w:rsid w:val="008524AE"/>
    <w:rsid w:val="0085291E"/>
    <w:rsid w:val="00852B18"/>
    <w:rsid w:val="00852F86"/>
    <w:rsid w:val="00853EDC"/>
    <w:rsid w:val="0085554C"/>
    <w:rsid w:val="008560F2"/>
    <w:rsid w:val="0085673A"/>
    <w:rsid w:val="00857E14"/>
    <w:rsid w:val="00860F3D"/>
    <w:rsid w:val="008611E1"/>
    <w:rsid w:val="00861214"/>
    <w:rsid w:val="00862753"/>
    <w:rsid w:val="00862F82"/>
    <w:rsid w:val="008631DC"/>
    <w:rsid w:val="00863256"/>
    <w:rsid w:val="008635C5"/>
    <w:rsid w:val="00864143"/>
    <w:rsid w:val="008652F2"/>
    <w:rsid w:val="00865C32"/>
    <w:rsid w:val="00866239"/>
    <w:rsid w:val="0086670F"/>
    <w:rsid w:val="00866AB4"/>
    <w:rsid w:val="00866CA8"/>
    <w:rsid w:val="00866FE3"/>
    <w:rsid w:val="008676CD"/>
    <w:rsid w:val="00867EB8"/>
    <w:rsid w:val="0087085A"/>
    <w:rsid w:val="00870D91"/>
    <w:rsid w:val="00871654"/>
    <w:rsid w:val="00872467"/>
    <w:rsid w:val="008733CC"/>
    <w:rsid w:val="00874EF2"/>
    <w:rsid w:val="0087507E"/>
    <w:rsid w:val="0087539F"/>
    <w:rsid w:val="008756F9"/>
    <w:rsid w:val="00875E6D"/>
    <w:rsid w:val="008761B9"/>
    <w:rsid w:val="00876F69"/>
    <w:rsid w:val="008802C1"/>
    <w:rsid w:val="00881698"/>
    <w:rsid w:val="00881902"/>
    <w:rsid w:val="00882065"/>
    <w:rsid w:val="00882647"/>
    <w:rsid w:val="00882F58"/>
    <w:rsid w:val="0088357E"/>
    <w:rsid w:val="00883C66"/>
    <w:rsid w:val="00884653"/>
    <w:rsid w:val="00884AFD"/>
    <w:rsid w:val="00884E8D"/>
    <w:rsid w:val="00884F0F"/>
    <w:rsid w:val="00885378"/>
    <w:rsid w:val="00885A41"/>
    <w:rsid w:val="00885C4F"/>
    <w:rsid w:val="0088653C"/>
    <w:rsid w:val="008869D2"/>
    <w:rsid w:val="00887063"/>
    <w:rsid w:val="00887692"/>
    <w:rsid w:val="00887A32"/>
    <w:rsid w:val="00887B1E"/>
    <w:rsid w:val="00890435"/>
    <w:rsid w:val="008905F7"/>
    <w:rsid w:val="008906E4"/>
    <w:rsid w:val="00890D7C"/>
    <w:rsid w:val="00891B6F"/>
    <w:rsid w:val="00892792"/>
    <w:rsid w:val="00893976"/>
    <w:rsid w:val="00893ACA"/>
    <w:rsid w:val="00894129"/>
    <w:rsid w:val="0089473F"/>
    <w:rsid w:val="00894A32"/>
    <w:rsid w:val="00894C52"/>
    <w:rsid w:val="00895DA1"/>
    <w:rsid w:val="008967EB"/>
    <w:rsid w:val="008969BA"/>
    <w:rsid w:val="00896B7E"/>
    <w:rsid w:val="00896D1F"/>
    <w:rsid w:val="00896EE7"/>
    <w:rsid w:val="008A183F"/>
    <w:rsid w:val="008A19AD"/>
    <w:rsid w:val="008A3035"/>
    <w:rsid w:val="008A37D0"/>
    <w:rsid w:val="008A47F7"/>
    <w:rsid w:val="008A610D"/>
    <w:rsid w:val="008A6444"/>
    <w:rsid w:val="008A7910"/>
    <w:rsid w:val="008A7F4B"/>
    <w:rsid w:val="008B0197"/>
    <w:rsid w:val="008B1121"/>
    <w:rsid w:val="008B13E0"/>
    <w:rsid w:val="008B152A"/>
    <w:rsid w:val="008B1641"/>
    <w:rsid w:val="008B1B5F"/>
    <w:rsid w:val="008B2276"/>
    <w:rsid w:val="008B26CB"/>
    <w:rsid w:val="008B2F7E"/>
    <w:rsid w:val="008B4001"/>
    <w:rsid w:val="008B483E"/>
    <w:rsid w:val="008B4954"/>
    <w:rsid w:val="008B4A25"/>
    <w:rsid w:val="008B4AE4"/>
    <w:rsid w:val="008B5686"/>
    <w:rsid w:val="008B5951"/>
    <w:rsid w:val="008B6778"/>
    <w:rsid w:val="008B7228"/>
    <w:rsid w:val="008B7B39"/>
    <w:rsid w:val="008B7DED"/>
    <w:rsid w:val="008B7FF9"/>
    <w:rsid w:val="008C0D18"/>
    <w:rsid w:val="008C3CC8"/>
    <w:rsid w:val="008C410D"/>
    <w:rsid w:val="008C6AE3"/>
    <w:rsid w:val="008C72FE"/>
    <w:rsid w:val="008C7913"/>
    <w:rsid w:val="008C7FC2"/>
    <w:rsid w:val="008D046F"/>
    <w:rsid w:val="008D0E6A"/>
    <w:rsid w:val="008D11FA"/>
    <w:rsid w:val="008D1427"/>
    <w:rsid w:val="008D497D"/>
    <w:rsid w:val="008D5107"/>
    <w:rsid w:val="008D56B7"/>
    <w:rsid w:val="008D5BCA"/>
    <w:rsid w:val="008D601E"/>
    <w:rsid w:val="008D6CFA"/>
    <w:rsid w:val="008D70B1"/>
    <w:rsid w:val="008D7265"/>
    <w:rsid w:val="008D7AF8"/>
    <w:rsid w:val="008D7EBB"/>
    <w:rsid w:val="008E002F"/>
    <w:rsid w:val="008E0469"/>
    <w:rsid w:val="008E09D9"/>
    <w:rsid w:val="008E1663"/>
    <w:rsid w:val="008E16E1"/>
    <w:rsid w:val="008E1CFF"/>
    <w:rsid w:val="008E283B"/>
    <w:rsid w:val="008E3480"/>
    <w:rsid w:val="008E3C21"/>
    <w:rsid w:val="008E3EC8"/>
    <w:rsid w:val="008E406F"/>
    <w:rsid w:val="008E44C7"/>
    <w:rsid w:val="008E4BEE"/>
    <w:rsid w:val="008E55BC"/>
    <w:rsid w:val="008E5A8A"/>
    <w:rsid w:val="008E611E"/>
    <w:rsid w:val="008E61D2"/>
    <w:rsid w:val="008E6512"/>
    <w:rsid w:val="008E749A"/>
    <w:rsid w:val="008E7913"/>
    <w:rsid w:val="008F0C27"/>
    <w:rsid w:val="008F0DA9"/>
    <w:rsid w:val="008F0DCC"/>
    <w:rsid w:val="008F0F1F"/>
    <w:rsid w:val="008F134E"/>
    <w:rsid w:val="008F1BE7"/>
    <w:rsid w:val="008F1CC8"/>
    <w:rsid w:val="008F2162"/>
    <w:rsid w:val="008F2287"/>
    <w:rsid w:val="008F2E66"/>
    <w:rsid w:val="008F2F09"/>
    <w:rsid w:val="008F35E9"/>
    <w:rsid w:val="008F3617"/>
    <w:rsid w:val="008F37AA"/>
    <w:rsid w:val="008F4754"/>
    <w:rsid w:val="008F4C18"/>
    <w:rsid w:val="008F5BC3"/>
    <w:rsid w:val="008F5E6E"/>
    <w:rsid w:val="008F5FA2"/>
    <w:rsid w:val="008F6125"/>
    <w:rsid w:val="008F72E2"/>
    <w:rsid w:val="008F75AE"/>
    <w:rsid w:val="008F768D"/>
    <w:rsid w:val="00900A9A"/>
    <w:rsid w:val="00901B92"/>
    <w:rsid w:val="00901BDC"/>
    <w:rsid w:val="00902E55"/>
    <w:rsid w:val="00903248"/>
    <w:rsid w:val="0090333E"/>
    <w:rsid w:val="00903D16"/>
    <w:rsid w:val="00904954"/>
    <w:rsid w:val="00905A3F"/>
    <w:rsid w:val="009067A1"/>
    <w:rsid w:val="00907398"/>
    <w:rsid w:val="00907469"/>
    <w:rsid w:val="00907D98"/>
    <w:rsid w:val="00910462"/>
    <w:rsid w:val="00910E99"/>
    <w:rsid w:val="00911398"/>
    <w:rsid w:val="00912058"/>
    <w:rsid w:val="00912850"/>
    <w:rsid w:val="00912864"/>
    <w:rsid w:val="00912E0F"/>
    <w:rsid w:val="009132E7"/>
    <w:rsid w:val="00913F2A"/>
    <w:rsid w:val="00914175"/>
    <w:rsid w:val="00915319"/>
    <w:rsid w:val="0091639A"/>
    <w:rsid w:val="00916AC9"/>
    <w:rsid w:val="00916B56"/>
    <w:rsid w:val="00916DB0"/>
    <w:rsid w:val="00916F81"/>
    <w:rsid w:val="00917A64"/>
    <w:rsid w:val="00917D98"/>
    <w:rsid w:val="00920176"/>
    <w:rsid w:val="0092116A"/>
    <w:rsid w:val="00921889"/>
    <w:rsid w:val="00921ACA"/>
    <w:rsid w:val="009226B8"/>
    <w:rsid w:val="009232DC"/>
    <w:rsid w:val="00923830"/>
    <w:rsid w:val="00924B3E"/>
    <w:rsid w:val="00924BBE"/>
    <w:rsid w:val="00924E4F"/>
    <w:rsid w:val="009252B6"/>
    <w:rsid w:val="009252D7"/>
    <w:rsid w:val="00925978"/>
    <w:rsid w:val="00926436"/>
    <w:rsid w:val="00926476"/>
    <w:rsid w:val="00926777"/>
    <w:rsid w:val="00926807"/>
    <w:rsid w:val="0092789D"/>
    <w:rsid w:val="009279CD"/>
    <w:rsid w:val="0093065C"/>
    <w:rsid w:val="0093099E"/>
    <w:rsid w:val="009310C1"/>
    <w:rsid w:val="00933984"/>
    <w:rsid w:val="009339EB"/>
    <w:rsid w:val="00934143"/>
    <w:rsid w:val="0093430E"/>
    <w:rsid w:val="0093432C"/>
    <w:rsid w:val="0093465B"/>
    <w:rsid w:val="00934D2B"/>
    <w:rsid w:val="00934D49"/>
    <w:rsid w:val="00934F68"/>
    <w:rsid w:val="0093559A"/>
    <w:rsid w:val="00936201"/>
    <w:rsid w:val="00936386"/>
    <w:rsid w:val="0093671D"/>
    <w:rsid w:val="00936A8F"/>
    <w:rsid w:val="00937534"/>
    <w:rsid w:val="0094081F"/>
    <w:rsid w:val="00943779"/>
    <w:rsid w:val="009439D9"/>
    <w:rsid w:val="00943A1A"/>
    <w:rsid w:val="00943E83"/>
    <w:rsid w:val="00944607"/>
    <w:rsid w:val="00945866"/>
    <w:rsid w:val="00945A01"/>
    <w:rsid w:val="009462F8"/>
    <w:rsid w:val="009469B1"/>
    <w:rsid w:val="00946FC5"/>
    <w:rsid w:val="00947E6B"/>
    <w:rsid w:val="009505F8"/>
    <w:rsid w:val="0095144D"/>
    <w:rsid w:val="0095161A"/>
    <w:rsid w:val="009518E0"/>
    <w:rsid w:val="00951957"/>
    <w:rsid w:val="00951A94"/>
    <w:rsid w:val="0095307F"/>
    <w:rsid w:val="00953F7C"/>
    <w:rsid w:val="009541A4"/>
    <w:rsid w:val="00954416"/>
    <w:rsid w:val="00954A5B"/>
    <w:rsid w:val="00954E84"/>
    <w:rsid w:val="009550C8"/>
    <w:rsid w:val="00955653"/>
    <w:rsid w:val="00956152"/>
    <w:rsid w:val="00957491"/>
    <w:rsid w:val="00957541"/>
    <w:rsid w:val="00957B30"/>
    <w:rsid w:val="00957EBA"/>
    <w:rsid w:val="00961319"/>
    <w:rsid w:val="009614E3"/>
    <w:rsid w:val="00961C24"/>
    <w:rsid w:val="00961E62"/>
    <w:rsid w:val="00961FF7"/>
    <w:rsid w:val="0096206B"/>
    <w:rsid w:val="009620FB"/>
    <w:rsid w:val="00962177"/>
    <w:rsid w:val="00962791"/>
    <w:rsid w:val="00962FDE"/>
    <w:rsid w:val="00962FE6"/>
    <w:rsid w:val="009636C3"/>
    <w:rsid w:val="0096411D"/>
    <w:rsid w:val="009648C0"/>
    <w:rsid w:val="00964D12"/>
    <w:rsid w:val="00965494"/>
    <w:rsid w:val="00965550"/>
    <w:rsid w:val="00965A4D"/>
    <w:rsid w:val="009666A0"/>
    <w:rsid w:val="00966C66"/>
    <w:rsid w:val="00967905"/>
    <w:rsid w:val="00967B4F"/>
    <w:rsid w:val="00967C98"/>
    <w:rsid w:val="00967D17"/>
    <w:rsid w:val="009701B3"/>
    <w:rsid w:val="0097065B"/>
    <w:rsid w:val="00970AFC"/>
    <w:rsid w:val="00970E8F"/>
    <w:rsid w:val="00971504"/>
    <w:rsid w:val="0097195A"/>
    <w:rsid w:val="00971AB6"/>
    <w:rsid w:val="00971D5F"/>
    <w:rsid w:val="0097215B"/>
    <w:rsid w:val="00972D06"/>
    <w:rsid w:val="00973568"/>
    <w:rsid w:val="00974352"/>
    <w:rsid w:val="009772A1"/>
    <w:rsid w:val="0097740F"/>
    <w:rsid w:val="009778FB"/>
    <w:rsid w:val="00977BFA"/>
    <w:rsid w:val="00977C6B"/>
    <w:rsid w:val="00977E05"/>
    <w:rsid w:val="009807A8"/>
    <w:rsid w:val="009813B2"/>
    <w:rsid w:val="0098156B"/>
    <w:rsid w:val="009817C3"/>
    <w:rsid w:val="00981ABB"/>
    <w:rsid w:val="00981FDA"/>
    <w:rsid w:val="00981FF4"/>
    <w:rsid w:val="00982296"/>
    <w:rsid w:val="009822C8"/>
    <w:rsid w:val="00982317"/>
    <w:rsid w:val="00982E9F"/>
    <w:rsid w:val="009833CA"/>
    <w:rsid w:val="00983AF5"/>
    <w:rsid w:val="00983C9B"/>
    <w:rsid w:val="009845C6"/>
    <w:rsid w:val="009847AE"/>
    <w:rsid w:val="00984CCE"/>
    <w:rsid w:val="00984D62"/>
    <w:rsid w:val="00984F08"/>
    <w:rsid w:val="00985200"/>
    <w:rsid w:val="0098536C"/>
    <w:rsid w:val="0098691E"/>
    <w:rsid w:val="00987D87"/>
    <w:rsid w:val="00990293"/>
    <w:rsid w:val="00990A3F"/>
    <w:rsid w:val="009911BD"/>
    <w:rsid w:val="00991655"/>
    <w:rsid w:val="00991B7A"/>
    <w:rsid w:val="0099206B"/>
    <w:rsid w:val="00993523"/>
    <w:rsid w:val="00994CA4"/>
    <w:rsid w:val="00995851"/>
    <w:rsid w:val="00995CFD"/>
    <w:rsid w:val="00996FF1"/>
    <w:rsid w:val="00997BD6"/>
    <w:rsid w:val="00997F2F"/>
    <w:rsid w:val="009A095B"/>
    <w:rsid w:val="009A0BAA"/>
    <w:rsid w:val="009A1090"/>
    <w:rsid w:val="009A1680"/>
    <w:rsid w:val="009A1AE9"/>
    <w:rsid w:val="009A1BC7"/>
    <w:rsid w:val="009A1CB5"/>
    <w:rsid w:val="009A219E"/>
    <w:rsid w:val="009A23E3"/>
    <w:rsid w:val="009A25E8"/>
    <w:rsid w:val="009A2881"/>
    <w:rsid w:val="009A449E"/>
    <w:rsid w:val="009A46F1"/>
    <w:rsid w:val="009A474E"/>
    <w:rsid w:val="009A4E33"/>
    <w:rsid w:val="009A53D5"/>
    <w:rsid w:val="009A55B3"/>
    <w:rsid w:val="009A5EF0"/>
    <w:rsid w:val="009A657F"/>
    <w:rsid w:val="009A684A"/>
    <w:rsid w:val="009A6B22"/>
    <w:rsid w:val="009A717F"/>
    <w:rsid w:val="009A72CB"/>
    <w:rsid w:val="009A7FBB"/>
    <w:rsid w:val="009B013B"/>
    <w:rsid w:val="009B0634"/>
    <w:rsid w:val="009B08BA"/>
    <w:rsid w:val="009B0945"/>
    <w:rsid w:val="009B0ACC"/>
    <w:rsid w:val="009B1403"/>
    <w:rsid w:val="009B1676"/>
    <w:rsid w:val="009B1D5D"/>
    <w:rsid w:val="009B203C"/>
    <w:rsid w:val="009B217B"/>
    <w:rsid w:val="009B2419"/>
    <w:rsid w:val="009B27CE"/>
    <w:rsid w:val="009B2EAF"/>
    <w:rsid w:val="009B380F"/>
    <w:rsid w:val="009B3A20"/>
    <w:rsid w:val="009B4133"/>
    <w:rsid w:val="009B423C"/>
    <w:rsid w:val="009B4A57"/>
    <w:rsid w:val="009B4C0F"/>
    <w:rsid w:val="009B4CCE"/>
    <w:rsid w:val="009B53DD"/>
    <w:rsid w:val="009B7296"/>
    <w:rsid w:val="009C02AC"/>
    <w:rsid w:val="009C0CB2"/>
    <w:rsid w:val="009C1E71"/>
    <w:rsid w:val="009C2B07"/>
    <w:rsid w:val="009C384E"/>
    <w:rsid w:val="009C3D93"/>
    <w:rsid w:val="009C427C"/>
    <w:rsid w:val="009C45CB"/>
    <w:rsid w:val="009C48E1"/>
    <w:rsid w:val="009C4B70"/>
    <w:rsid w:val="009C5615"/>
    <w:rsid w:val="009C5738"/>
    <w:rsid w:val="009C5AD1"/>
    <w:rsid w:val="009C5DC8"/>
    <w:rsid w:val="009C61E9"/>
    <w:rsid w:val="009C63D2"/>
    <w:rsid w:val="009C64EA"/>
    <w:rsid w:val="009C7734"/>
    <w:rsid w:val="009C7C7D"/>
    <w:rsid w:val="009C7F6E"/>
    <w:rsid w:val="009D0BE6"/>
    <w:rsid w:val="009D107C"/>
    <w:rsid w:val="009D1B9D"/>
    <w:rsid w:val="009D202E"/>
    <w:rsid w:val="009D20A7"/>
    <w:rsid w:val="009D224F"/>
    <w:rsid w:val="009D25CE"/>
    <w:rsid w:val="009D38DF"/>
    <w:rsid w:val="009D4C67"/>
    <w:rsid w:val="009D4EA1"/>
    <w:rsid w:val="009D4EFF"/>
    <w:rsid w:val="009D4F2D"/>
    <w:rsid w:val="009D503B"/>
    <w:rsid w:val="009D5505"/>
    <w:rsid w:val="009D6A33"/>
    <w:rsid w:val="009D6F95"/>
    <w:rsid w:val="009D71AC"/>
    <w:rsid w:val="009D737E"/>
    <w:rsid w:val="009D7DC1"/>
    <w:rsid w:val="009E0120"/>
    <w:rsid w:val="009E02D5"/>
    <w:rsid w:val="009E06B1"/>
    <w:rsid w:val="009E07AC"/>
    <w:rsid w:val="009E16CA"/>
    <w:rsid w:val="009E18D2"/>
    <w:rsid w:val="009E1CA7"/>
    <w:rsid w:val="009E228A"/>
    <w:rsid w:val="009E26A2"/>
    <w:rsid w:val="009E270E"/>
    <w:rsid w:val="009E2F6E"/>
    <w:rsid w:val="009E33D6"/>
    <w:rsid w:val="009E398B"/>
    <w:rsid w:val="009E3AFC"/>
    <w:rsid w:val="009E3F3E"/>
    <w:rsid w:val="009E41DA"/>
    <w:rsid w:val="009E53E2"/>
    <w:rsid w:val="009E6A7C"/>
    <w:rsid w:val="009E6B59"/>
    <w:rsid w:val="009E6DE0"/>
    <w:rsid w:val="009E6E65"/>
    <w:rsid w:val="009E707E"/>
    <w:rsid w:val="009E7BE4"/>
    <w:rsid w:val="009E7CAD"/>
    <w:rsid w:val="009F016A"/>
    <w:rsid w:val="009F055C"/>
    <w:rsid w:val="009F05F5"/>
    <w:rsid w:val="009F25F7"/>
    <w:rsid w:val="009F2BC9"/>
    <w:rsid w:val="009F2E73"/>
    <w:rsid w:val="009F2EE5"/>
    <w:rsid w:val="009F2F3E"/>
    <w:rsid w:val="009F3420"/>
    <w:rsid w:val="009F35A5"/>
    <w:rsid w:val="009F3D54"/>
    <w:rsid w:val="009F529B"/>
    <w:rsid w:val="009F5FE9"/>
    <w:rsid w:val="009F6423"/>
    <w:rsid w:val="009F65B9"/>
    <w:rsid w:val="009F77FB"/>
    <w:rsid w:val="009F7E9B"/>
    <w:rsid w:val="009F7FF7"/>
    <w:rsid w:val="00A003CD"/>
    <w:rsid w:val="00A004EE"/>
    <w:rsid w:val="00A00F15"/>
    <w:rsid w:val="00A012CC"/>
    <w:rsid w:val="00A0136E"/>
    <w:rsid w:val="00A013FE"/>
    <w:rsid w:val="00A0156C"/>
    <w:rsid w:val="00A027A3"/>
    <w:rsid w:val="00A02D1E"/>
    <w:rsid w:val="00A04A19"/>
    <w:rsid w:val="00A04CC1"/>
    <w:rsid w:val="00A05871"/>
    <w:rsid w:val="00A06149"/>
    <w:rsid w:val="00A064E4"/>
    <w:rsid w:val="00A065C6"/>
    <w:rsid w:val="00A0678F"/>
    <w:rsid w:val="00A068D7"/>
    <w:rsid w:val="00A06AFD"/>
    <w:rsid w:val="00A07620"/>
    <w:rsid w:val="00A078FF"/>
    <w:rsid w:val="00A0793E"/>
    <w:rsid w:val="00A07EF3"/>
    <w:rsid w:val="00A10737"/>
    <w:rsid w:val="00A11A5C"/>
    <w:rsid w:val="00A11C64"/>
    <w:rsid w:val="00A12A3E"/>
    <w:rsid w:val="00A13326"/>
    <w:rsid w:val="00A13554"/>
    <w:rsid w:val="00A1355E"/>
    <w:rsid w:val="00A1381D"/>
    <w:rsid w:val="00A13E4F"/>
    <w:rsid w:val="00A145FD"/>
    <w:rsid w:val="00A14AE7"/>
    <w:rsid w:val="00A14D4E"/>
    <w:rsid w:val="00A159A2"/>
    <w:rsid w:val="00A15B71"/>
    <w:rsid w:val="00A16AEC"/>
    <w:rsid w:val="00A17BD8"/>
    <w:rsid w:val="00A21220"/>
    <w:rsid w:val="00A2132C"/>
    <w:rsid w:val="00A21583"/>
    <w:rsid w:val="00A22273"/>
    <w:rsid w:val="00A22509"/>
    <w:rsid w:val="00A22C63"/>
    <w:rsid w:val="00A239AE"/>
    <w:rsid w:val="00A23BD1"/>
    <w:rsid w:val="00A24058"/>
    <w:rsid w:val="00A25AF7"/>
    <w:rsid w:val="00A25CBA"/>
    <w:rsid w:val="00A26566"/>
    <w:rsid w:val="00A26BF4"/>
    <w:rsid w:val="00A30ADC"/>
    <w:rsid w:val="00A30FC5"/>
    <w:rsid w:val="00A31245"/>
    <w:rsid w:val="00A319A2"/>
    <w:rsid w:val="00A31B26"/>
    <w:rsid w:val="00A31DDA"/>
    <w:rsid w:val="00A3297A"/>
    <w:rsid w:val="00A330A2"/>
    <w:rsid w:val="00A336E2"/>
    <w:rsid w:val="00A3394B"/>
    <w:rsid w:val="00A3394D"/>
    <w:rsid w:val="00A33A0D"/>
    <w:rsid w:val="00A33AEC"/>
    <w:rsid w:val="00A3403F"/>
    <w:rsid w:val="00A3496D"/>
    <w:rsid w:val="00A34DD7"/>
    <w:rsid w:val="00A35CB1"/>
    <w:rsid w:val="00A36F83"/>
    <w:rsid w:val="00A37488"/>
    <w:rsid w:val="00A374AB"/>
    <w:rsid w:val="00A378D3"/>
    <w:rsid w:val="00A403AF"/>
    <w:rsid w:val="00A40449"/>
    <w:rsid w:val="00A40547"/>
    <w:rsid w:val="00A4091E"/>
    <w:rsid w:val="00A40F43"/>
    <w:rsid w:val="00A41355"/>
    <w:rsid w:val="00A421AB"/>
    <w:rsid w:val="00A4268D"/>
    <w:rsid w:val="00A42B8A"/>
    <w:rsid w:val="00A4330F"/>
    <w:rsid w:val="00A43712"/>
    <w:rsid w:val="00A4404B"/>
    <w:rsid w:val="00A442D3"/>
    <w:rsid w:val="00A44836"/>
    <w:rsid w:val="00A44C2F"/>
    <w:rsid w:val="00A44FC4"/>
    <w:rsid w:val="00A46B63"/>
    <w:rsid w:val="00A46F84"/>
    <w:rsid w:val="00A50588"/>
    <w:rsid w:val="00A5077E"/>
    <w:rsid w:val="00A507B9"/>
    <w:rsid w:val="00A51577"/>
    <w:rsid w:val="00A51882"/>
    <w:rsid w:val="00A5197F"/>
    <w:rsid w:val="00A51E5E"/>
    <w:rsid w:val="00A5203C"/>
    <w:rsid w:val="00A5287D"/>
    <w:rsid w:val="00A52928"/>
    <w:rsid w:val="00A52997"/>
    <w:rsid w:val="00A532B5"/>
    <w:rsid w:val="00A53A7A"/>
    <w:rsid w:val="00A54303"/>
    <w:rsid w:val="00A546BB"/>
    <w:rsid w:val="00A548E9"/>
    <w:rsid w:val="00A55055"/>
    <w:rsid w:val="00A5514F"/>
    <w:rsid w:val="00A55ACC"/>
    <w:rsid w:val="00A55C61"/>
    <w:rsid w:val="00A55EE8"/>
    <w:rsid w:val="00A55F65"/>
    <w:rsid w:val="00A566FD"/>
    <w:rsid w:val="00A56AA6"/>
    <w:rsid w:val="00A56D8C"/>
    <w:rsid w:val="00A5713B"/>
    <w:rsid w:val="00A57DDF"/>
    <w:rsid w:val="00A57E4A"/>
    <w:rsid w:val="00A60048"/>
    <w:rsid w:val="00A601EF"/>
    <w:rsid w:val="00A606F6"/>
    <w:rsid w:val="00A61C0B"/>
    <w:rsid w:val="00A62574"/>
    <w:rsid w:val="00A62EAE"/>
    <w:rsid w:val="00A6322C"/>
    <w:rsid w:val="00A63528"/>
    <w:rsid w:val="00A64686"/>
    <w:rsid w:val="00A64F10"/>
    <w:rsid w:val="00A650B3"/>
    <w:rsid w:val="00A65250"/>
    <w:rsid w:val="00A65982"/>
    <w:rsid w:val="00A66517"/>
    <w:rsid w:val="00A66CC7"/>
    <w:rsid w:val="00A674B4"/>
    <w:rsid w:val="00A6787B"/>
    <w:rsid w:val="00A67F13"/>
    <w:rsid w:val="00A7071A"/>
    <w:rsid w:val="00A70866"/>
    <w:rsid w:val="00A722C8"/>
    <w:rsid w:val="00A728ED"/>
    <w:rsid w:val="00A72DB9"/>
    <w:rsid w:val="00A7392E"/>
    <w:rsid w:val="00A73CF0"/>
    <w:rsid w:val="00A740F6"/>
    <w:rsid w:val="00A748F0"/>
    <w:rsid w:val="00A74962"/>
    <w:rsid w:val="00A74AA7"/>
    <w:rsid w:val="00A74B26"/>
    <w:rsid w:val="00A750EE"/>
    <w:rsid w:val="00A75263"/>
    <w:rsid w:val="00A75E60"/>
    <w:rsid w:val="00A761B4"/>
    <w:rsid w:val="00A762B8"/>
    <w:rsid w:val="00A7636D"/>
    <w:rsid w:val="00A769E8"/>
    <w:rsid w:val="00A76A5B"/>
    <w:rsid w:val="00A7760A"/>
    <w:rsid w:val="00A7782E"/>
    <w:rsid w:val="00A801DE"/>
    <w:rsid w:val="00A809B3"/>
    <w:rsid w:val="00A80C4B"/>
    <w:rsid w:val="00A80EE2"/>
    <w:rsid w:val="00A833A9"/>
    <w:rsid w:val="00A83CCE"/>
    <w:rsid w:val="00A848FA"/>
    <w:rsid w:val="00A84BAA"/>
    <w:rsid w:val="00A84F48"/>
    <w:rsid w:val="00A8548D"/>
    <w:rsid w:val="00A8572C"/>
    <w:rsid w:val="00A85D1F"/>
    <w:rsid w:val="00A85F98"/>
    <w:rsid w:val="00A87093"/>
    <w:rsid w:val="00A8764B"/>
    <w:rsid w:val="00A87864"/>
    <w:rsid w:val="00A90216"/>
    <w:rsid w:val="00A907C3"/>
    <w:rsid w:val="00A908D5"/>
    <w:rsid w:val="00A90CED"/>
    <w:rsid w:val="00A911C1"/>
    <w:rsid w:val="00A91365"/>
    <w:rsid w:val="00A9142C"/>
    <w:rsid w:val="00A92F1C"/>
    <w:rsid w:val="00A93057"/>
    <w:rsid w:val="00A938F0"/>
    <w:rsid w:val="00A93BF1"/>
    <w:rsid w:val="00A93DCC"/>
    <w:rsid w:val="00A93E5D"/>
    <w:rsid w:val="00A93ECD"/>
    <w:rsid w:val="00A940A7"/>
    <w:rsid w:val="00A9566E"/>
    <w:rsid w:val="00A95E3D"/>
    <w:rsid w:val="00A9618A"/>
    <w:rsid w:val="00A96ED1"/>
    <w:rsid w:val="00AA0583"/>
    <w:rsid w:val="00AA0874"/>
    <w:rsid w:val="00AA0B7E"/>
    <w:rsid w:val="00AA0BDD"/>
    <w:rsid w:val="00AA142B"/>
    <w:rsid w:val="00AA157D"/>
    <w:rsid w:val="00AA21D2"/>
    <w:rsid w:val="00AA2233"/>
    <w:rsid w:val="00AA2249"/>
    <w:rsid w:val="00AA3E68"/>
    <w:rsid w:val="00AA3FF6"/>
    <w:rsid w:val="00AA4219"/>
    <w:rsid w:val="00AA475A"/>
    <w:rsid w:val="00AA6103"/>
    <w:rsid w:val="00AA6466"/>
    <w:rsid w:val="00AA6D74"/>
    <w:rsid w:val="00AB03AF"/>
    <w:rsid w:val="00AB06CF"/>
    <w:rsid w:val="00AB1197"/>
    <w:rsid w:val="00AB1E93"/>
    <w:rsid w:val="00AB28DB"/>
    <w:rsid w:val="00AB301D"/>
    <w:rsid w:val="00AB31D5"/>
    <w:rsid w:val="00AB32D7"/>
    <w:rsid w:val="00AB3332"/>
    <w:rsid w:val="00AB3688"/>
    <w:rsid w:val="00AB378C"/>
    <w:rsid w:val="00AB388A"/>
    <w:rsid w:val="00AB3A3D"/>
    <w:rsid w:val="00AB448D"/>
    <w:rsid w:val="00AB5413"/>
    <w:rsid w:val="00AB5790"/>
    <w:rsid w:val="00AB57C1"/>
    <w:rsid w:val="00AB5F44"/>
    <w:rsid w:val="00AB604F"/>
    <w:rsid w:val="00AB60C1"/>
    <w:rsid w:val="00AB74BC"/>
    <w:rsid w:val="00AB7829"/>
    <w:rsid w:val="00AB7DDD"/>
    <w:rsid w:val="00AC019F"/>
    <w:rsid w:val="00AC150E"/>
    <w:rsid w:val="00AC248C"/>
    <w:rsid w:val="00AC27E4"/>
    <w:rsid w:val="00AC2F0F"/>
    <w:rsid w:val="00AC308F"/>
    <w:rsid w:val="00AC37F9"/>
    <w:rsid w:val="00AC40EA"/>
    <w:rsid w:val="00AC53D2"/>
    <w:rsid w:val="00AC5957"/>
    <w:rsid w:val="00AC5A9D"/>
    <w:rsid w:val="00AC616A"/>
    <w:rsid w:val="00AC66BA"/>
    <w:rsid w:val="00AC6C8F"/>
    <w:rsid w:val="00AC6EAA"/>
    <w:rsid w:val="00AC70A5"/>
    <w:rsid w:val="00AC7A3B"/>
    <w:rsid w:val="00AC7C79"/>
    <w:rsid w:val="00AD0285"/>
    <w:rsid w:val="00AD0645"/>
    <w:rsid w:val="00AD0A45"/>
    <w:rsid w:val="00AD1690"/>
    <w:rsid w:val="00AD1C35"/>
    <w:rsid w:val="00AD205E"/>
    <w:rsid w:val="00AD2B66"/>
    <w:rsid w:val="00AD319A"/>
    <w:rsid w:val="00AD3272"/>
    <w:rsid w:val="00AD3E30"/>
    <w:rsid w:val="00AD50A0"/>
    <w:rsid w:val="00AD5487"/>
    <w:rsid w:val="00AD5FF5"/>
    <w:rsid w:val="00AD614C"/>
    <w:rsid w:val="00AD6805"/>
    <w:rsid w:val="00AD7D21"/>
    <w:rsid w:val="00AE0798"/>
    <w:rsid w:val="00AE0989"/>
    <w:rsid w:val="00AE1253"/>
    <w:rsid w:val="00AE22EA"/>
    <w:rsid w:val="00AE28FB"/>
    <w:rsid w:val="00AE292C"/>
    <w:rsid w:val="00AE2D92"/>
    <w:rsid w:val="00AE331A"/>
    <w:rsid w:val="00AE35DB"/>
    <w:rsid w:val="00AE361E"/>
    <w:rsid w:val="00AE416A"/>
    <w:rsid w:val="00AE4496"/>
    <w:rsid w:val="00AE4574"/>
    <w:rsid w:val="00AE4D10"/>
    <w:rsid w:val="00AE52F1"/>
    <w:rsid w:val="00AE54CC"/>
    <w:rsid w:val="00AE5582"/>
    <w:rsid w:val="00AE583D"/>
    <w:rsid w:val="00AE64D3"/>
    <w:rsid w:val="00AE661C"/>
    <w:rsid w:val="00AE7247"/>
    <w:rsid w:val="00AE79F6"/>
    <w:rsid w:val="00AF0116"/>
    <w:rsid w:val="00AF0EB6"/>
    <w:rsid w:val="00AF12E0"/>
    <w:rsid w:val="00AF1594"/>
    <w:rsid w:val="00AF15F3"/>
    <w:rsid w:val="00AF1AA4"/>
    <w:rsid w:val="00AF1E1E"/>
    <w:rsid w:val="00AF2703"/>
    <w:rsid w:val="00AF272F"/>
    <w:rsid w:val="00AF2D9A"/>
    <w:rsid w:val="00AF2FE1"/>
    <w:rsid w:val="00AF36F4"/>
    <w:rsid w:val="00AF42E5"/>
    <w:rsid w:val="00AF43B2"/>
    <w:rsid w:val="00AF46C7"/>
    <w:rsid w:val="00AF4BDB"/>
    <w:rsid w:val="00AF4F0C"/>
    <w:rsid w:val="00AF5C44"/>
    <w:rsid w:val="00AF5D2B"/>
    <w:rsid w:val="00AF65E1"/>
    <w:rsid w:val="00AF6EC2"/>
    <w:rsid w:val="00B00633"/>
    <w:rsid w:val="00B00B49"/>
    <w:rsid w:val="00B01BA4"/>
    <w:rsid w:val="00B02168"/>
    <w:rsid w:val="00B0282A"/>
    <w:rsid w:val="00B02F58"/>
    <w:rsid w:val="00B03805"/>
    <w:rsid w:val="00B03EE8"/>
    <w:rsid w:val="00B03F4E"/>
    <w:rsid w:val="00B0477C"/>
    <w:rsid w:val="00B04789"/>
    <w:rsid w:val="00B04E6F"/>
    <w:rsid w:val="00B06095"/>
    <w:rsid w:val="00B067E6"/>
    <w:rsid w:val="00B07129"/>
    <w:rsid w:val="00B106F2"/>
    <w:rsid w:val="00B10A0C"/>
    <w:rsid w:val="00B1162F"/>
    <w:rsid w:val="00B11E74"/>
    <w:rsid w:val="00B12F00"/>
    <w:rsid w:val="00B13FCC"/>
    <w:rsid w:val="00B14100"/>
    <w:rsid w:val="00B141E0"/>
    <w:rsid w:val="00B144BD"/>
    <w:rsid w:val="00B14B65"/>
    <w:rsid w:val="00B14EDE"/>
    <w:rsid w:val="00B1521C"/>
    <w:rsid w:val="00B15BF1"/>
    <w:rsid w:val="00B162AC"/>
    <w:rsid w:val="00B16500"/>
    <w:rsid w:val="00B1692B"/>
    <w:rsid w:val="00B1700A"/>
    <w:rsid w:val="00B202A1"/>
    <w:rsid w:val="00B205BB"/>
    <w:rsid w:val="00B20E8A"/>
    <w:rsid w:val="00B22377"/>
    <w:rsid w:val="00B22436"/>
    <w:rsid w:val="00B2315E"/>
    <w:rsid w:val="00B2380A"/>
    <w:rsid w:val="00B239CF"/>
    <w:rsid w:val="00B23F96"/>
    <w:rsid w:val="00B24138"/>
    <w:rsid w:val="00B24692"/>
    <w:rsid w:val="00B25668"/>
    <w:rsid w:val="00B2586B"/>
    <w:rsid w:val="00B25FA0"/>
    <w:rsid w:val="00B26168"/>
    <w:rsid w:val="00B27266"/>
    <w:rsid w:val="00B272E9"/>
    <w:rsid w:val="00B27AC4"/>
    <w:rsid w:val="00B27C21"/>
    <w:rsid w:val="00B27E0A"/>
    <w:rsid w:val="00B301E1"/>
    <w:rsid w:val="00B3061F"/>
    <w:rsid w:val="00B30FD8"/>
    <w:rsid w:val="00B31047"/>
    <w:rsid w:val="00B314D0"/>
    <w:rsid w:val="00B31796"/>
    <w:rsid w:val="00B31AE0"/>
    <w:rsid w:val="00B31D06"/>
    <w:rsid w:val="00B33211"/>
    <w:rsid w:val="00B332E3"/>
    <w:rsid w:val="00B33904"/>
    <w:rsid w:val="00B33DFE"/>
    <w:rsid w:val="00B343AC"/>
    <w:rsid w:val="00B34AE4"/>
    <w:rsid w:val="00B35038"/>
    <w:rsid w:val="00B3540E"/>
    <w:rsid w:val="00B354E2"/>
    <w:rsid w:val="00B357B1"/>
    <w:rsid w:val="00B37082"/>
    <w:rsid w:val="00B40039"/>
    <w:rsid w:val="00B40062"/>
    <w:rsid w:val="00B40311"/>
    <w:rsid w:val="00B409AB"/>
    <w:rsid w:val="00B40DAA"/>
    <w:rsid w:val="00B41289"/>
    <w:rsid w:val="00B414F5"/>
    <w:rsid w:val="00B41576"/>
    <w:rsid w:val="00B41752"/>
    <w:rsid w:val="00B41B15"/>
    <w:rsid w:val="00B421E6"/>
    <w:rsid w:val="00B42E08"/>
    <w:rsid w:val="00B430A2"/>
    <w:rsid w:val="00B432FD"/>
    <w:rsid w:val="00B448FF"/>
    <w:rsid w:val="00B44CBB"/>
    <w:rsid w:val="00B452C6"/>
    <w:rsid w:val="00B45354"/>
    <w:rsid w:val="00B453C9"/>
    <w:rsid w:val="00B466F3"/>
    <w:rsid w:val="00B46768"/>
    <w:rsid w:val="00B46F08"/>
    <w:rsid w:val="00B4701A"/>
    <w:rsid w:val="00B47D87"/>
    <w:rsid w:val="00B50293"/>
    <w:rsid w:val="00B50628"/>
    <w:rsid w:val="00B51286"/>
    <w:rsid w:val="00B51396"/>
    <w:rsid w:val="00B51B31"/>
    <w:rsid w:val="00B52113"/>
    <w:rsid w:val="00B5388D"/>
    <w:rsid w:val="00B53E35"/>
    <w:rsid w:val="00B540AB"/>
    <w:rsid w:val="00B545EE"/>
    <w:rsid w:val="00B54B81"/>
    <w:rsid w:val="00B55DF6"/>
    <w:rsid w:val="00B560AF"/>
    <w:rsid w:val="00B565AE"/>
    <w:rsid w:val="00B565FB"/>
    <w:rsid w:val="00B5671D"/>
    <w:rsid w:val="00B56939"/>
    <w:rsid w:val="00B56E97"/>
    <w:rsid w:val="00B578E8"/>
    <w:rsid w:val="00B57BB8"/>
    <w:rsid w:val="00B57E1F"/>
    <w:rsid w:val="00B60084"/>
    <w:rsid w:val="00B60E19"/>
    <w:rsid w:val="00B610A6"/>
    <w:rsid w:val="00B612B2"/>
    <w:rsid w:val="00B613DA"/>
    <w:rsid w:val="00B61492"/>
    <w:rsid w:val="00B6159C"/>
    <w:rsid w:val="00B61717"/>
    <w:rsid w:val="00B619D2"/>
    <w:rsid w:val="00B61AE3"/>
    <w:rsid w:val="00B61CBF"/>
    <w:rsid w:val="00B62B2D"/>
    <w:rsid w:val="00B633D5"/>
    <w:rsid w:val="00B63483"/>
    <w:rsid w:val="00B639C4"/>
    <w:rsid w:val="00B63CCC"/>
    <w:rsid w:val="00B63E6D"/>
    <w:rsid w:val="00B64700"/>
    <w:rsid w:val="00B64826"/>
    <w:rsid w:val="00B64FB3"/>
    <w:rsid w:val="00B65CD9"/>
    <w:rsid w:val="00B65D97"/>
    <w:rsid w:val="00B668B1"/>
    <w:rsid w:val="00B6695F"/>
    <w:rsid w:val="00B67500"/>
    <w:rsid w:val="00B679B9"/>
    <w:rsid w:val="00B67ECA"/>
    <w:rsid w:val="00B67F58"/>
    <w:rsid w:val="00B7002D"/>
    <w:rsid w:val="00B70666"/>
    <w:rsid w:val="00B710F0"/>
    <w:rsid w:val="00B7212A"/>
    <w:rsid w:val="00B72BF5"/>
    <w:rsid w:val="00B72C66"/>
    <w:rsid w:val="00B72E1B"/>
    <w:rsid w:val="00B73499"/>
    <w:rsid w:val="00B734C2"/>
    <w:rsid w:val="00B736F3"/>
    <w:rsid w:val="00B73A1B"/>
    <w:rsid w:val="00B73E97"/>
    <w:rsid w:val="00B740BB"/>
    <w:rsid w:val="00B74A30"/>
    <w:rsid w:val="00B74F8F"/>
    <w:rsid w:val="00B75121"/>
    <w:rsid w:val="00B75399"/>
    <w:rsid w:val="00B759F9"/>
    <w:rsid w:val="00B76220"/>
    <w:rsid w:val="00B762FD"/>
    <w:rsid w:val="00B767B7"/>
    <w:rsid w:val="00B80039"/>
    <w:rsid w:val="00B80B41"/>
    <w:rsid w:val="00B80D12"/>
    <w:rsid w:val="00B80DD8"/>
    <w:rsid w:val="00B81710"/>
    <w:rsid w:val="00B81C93"/>
    <w:rsid w:val="00B8224A"/>
    <w:rsid w:val="00B82E9D"/>
    <w:rsid w:val="00B83092"/>
    <w:rsid w:val="00B8353A"/>
    <w:rsid w:val="00B836F8"/>
    <w:rsid w:val="00B84854"/>
    <w:rsid w:val="00B85559"/>
    <w:rsid w:val="00B86337"/>
    <w:rsid w:val="00B863C0"/>
    <w:rsid w:val="00B863FB"/>
    <w:rsid w:val="00B86674"/>
    <w:rsid w:val="00B86746"/>
    <w:rsid w:val="00B86A0E"/>
    <w:rsid w:val="00B86DAC"/>
    <w:rsid w:val="00B86EC5"/>
    <w:rsid w:val="00B904C0"/>
    <w:rsid w:val="00B904FB"/>
    <w:rsid w:val="00B907DA"/>
    <w:rsid w:val="00B90CEA"/>
    <w:rsid w:val="00B9294A"/>
    <w:rsid w:val="00B933A7"/>
    <w:rsid w:val="00B93504"/>
    <w:rsid w:val="00B9374A"/>
    <w:rsid w:val="00B93806"/>
    <w:rsid w:val="00B94506"/>
    <w:rsid w:val="00B94EA9"/>
    <w:rsid w:val="00B957D0"/>
    <w:rsid w:val="00B95BF6"/>
    <w:rsid w:val="00B95CB7"/>
    <w:rsid w:val="00B95FE6"/>
    <w:rsid w:val="00B9636D"/>
    <w:rsid w:val="00B96839"/>
    <w:rsid w:val="00B96D08"/>
    <w:rsid w:val="00B96FF6"/>
    <w:rsid w:val="00B971DE"/>
    <w:rsid w:val="00B97216"/>
    <w:rsid w:val="00B97258"/>
    <w:rsid w:val="00B972DE"/>
    <w:rsid w:val="00B97776"/>
    <w:rsid w:val="00B97AB5"/>
    <w:rsid w:val="00B97FC9"/>
    <w:rsid w:val="00BA02B1"/>
    <w:rsid w:val="00BA07EB"/>
    <w:rsid w:val="00BA0CF9"/>
    <w:rsid w:val="00BA0E8F"/>
    <w:rsid w:val="00BA1130"/>
    <w:rsid w:val="00BA1ACA"/>
    <w:rsid w:val="00BA1CBE"/>
    <w:rsid w:val="00BA1DF1"/>
    <w:rsid w:val="00BA294D"/>
    <w:rsid w:val="00BA29F0"/>
    <w:rsid w:val="00BA2C25"/>
    <w:rsid w:val="00BA2F64"/>
    <w:rsid w:val="00BA2F6D"/>
    <w:rsid w:val="00BA461C"/>
    <w:rsid w:val="00BA4D0F"/>
    <w:rsid w:val="00BA5047"/>
    <w:rsid w:val="00BA5188"/>
    <w:rsid w:val="00BA5487"/>
    <w:rsid w:val="00BA57E0"/>
    <w:rsid w:val="00BA63CC"/>
    <w:rsid w:val="00BA688F"/>
    <w:rsid w:val="00BA6AAE"/>
    <w:rsid w:val="00BA7D64"/>
    <w:rsid w:val="00BB0051"/>
    <w:rsid w:val="00BB0D1C"/>
    <w:rsid w:val="00BB1153"/>
    <w:rsid w:val="00BB166D"/>
    <w:rsid w:val="00BB16D6"/>
    <w:rsid w:val="00BB1C07"/>
    <w:rsid w:val="00BB21B6"/>
    <w:rsid w:val="00BB26BB"/>
    <w:rsid w:val="00BB2F9C"/>
    <w:rsid w:val="00BB3F77"/>
    <w:rsid w:val="00BB4293"/>
    <w:rsid w:val="00BB4379"/>
    <w:rsid w:val="00BB5F87"/>
    <w:rsid w:val="00BB6074"/>
    <w:rsid w:val="00BB61DD"/>
    <w:rsid w:val="00BB6555"/>
    <w:rsid w:val="00BB6652"/>
    <w:rsid w:val="00BB6961"/>
    <w:rsid w:val="00BB6AC6"/>
    <w:rsid w:val="00BB7182"/>
    <w:rsid w:val="00BB78A6"/>
    <w:rsid w:val="00BB7F1B"/>
    <w:rsid w:val="00BC0038"/>
    <w:rsid w:val="00BC0064"/>
    <w:rsid w:val="00BC01B5"/>
    <w:rsid w:val="00BC03E3"/>
    <w:rsid w:val="00BC0E80"/>
    <w:rsid w:val="00BC1B26"/>
    <w:rsid w:val="00BC1EB8"/>
    <w:rsid w:val="00BC1EBA"/>
    <w:rsid w:val="00BC22D1"/>
    <w:rsid w:val="00BC23D7"/>
    <w:rsid w:val="00BC3A9B"/>
    <w:rsid w:val="00BC3CC3"/>
    <w:rsid w:val="00BC40B8"/>
    <w:rsid w:val="00BC4613"/>
    <w:rsid w:val="00BC482B"/>
    <w:rsid w:val="00BC6582"/>
    <w:rsid w:val="00BC68FA"/>
    <w:rsid w:val="00BC6DB6"/>
    <w:rsid w:val="00BC71DA"/>
    <w:rsid w:val="00BC7921"/>
    <w:rsid w:val="00BD0036"/>
    <w:rsid w:val="00BD0636"/>
    <w:rsid w:val="00BD15CE"/>
    <w:rsid w:val="00BD19D9"/>
    <w:rsid w:val="00BD1E99"/>
    <w:rsid w:val="00BD247D"/>
    <w:rsid w:val="00BD300D"/>
    <w:rsid w:val="00BD3338"/>
    <w:rsid w:val="00BD34E1"/>
    <w:rsid w:val="00BD3A21"/>
    <w:rsid w:val="00BD3FBA"/>
    <w:rsid w:val="00BD424B"/>
    <w:rsid w:val="00BD4770"/>
    <w:rsid w:val="00BD4C21"/>
    <w:rsid w:val="00BD4C47"/>
    <w:rsid w:val="00BD5AB6"/>
    <w:rsid w:val="00BD5C39"/>
    <w:rsid w:val="00BD6A93"/>
    <w:rsid w:val="00BD72BB"/>
    <w:rsid w:val="00BD7300"/>
    <w:rsid w:val="00BD75E7"/>
    <w:rsid w:val="00BD7AF9"/>
    <w:rsid w:val="00BD7F85"/>
    <w:rsid w:val="00BD7FB1"/>
    <w:rsid w:val="00BE02D3"/>
    <w:rsid w:val="00BE0AFC"/>
    <w:rsid w:val="00BE1124"/>
    <w:rsid w:val="00BE1BA4"/>
    <w:rsid w:val="00BE2735"/>
    <w:rsid w:val="00BE28B8"/>
    <w:rsid w:val="00BE3117"/>
    <w:rsid w:val="00BE339A"/>
    <w:rsid w:val="00BE3446"/>
    <w:rsid w:val="00BE3D89"/>
    <w:rsid w:val="00BE46C1"/>
    <w:rsid w:val="00BE4B4B"/>
    <w:rsid w:val="00BE5796"/>
    <w:rsid w:val="00BE59A2"/>
    <w:rsid w:val="00BE5F87"/>
    <w:rsid w:val="00BE614E"/>
    <w:rsid w:val="00BE740E"/>
    <w:rsid w:val="00BF0107"/>
    <w:rsid w:val="00BF0138"/>
    <w:rsid w:val="00BF0C3B"/>
    <w:rsid w:val="00BF0EAA"/>
    <w:rsid w:val="00BF135B"/>
    <w:rsid w:val="00BF1BB8"/>
    <w:rsid w:val="00BF1FA4"/>
    <w:rsid w:val="00BF21B2"/>
    <w:rsid w:val="00BF259B"/>
    <w:rsid w:val="00BF266B"/>
    <w:rsid w:val="00BF2677"/>
    <w:rsid w:val="00BF26B6"/>
    <w:rsid w:val="00BF28A6"/>
    <w:rsid w:val="00BF2DF3"/>
    <w:rsid w:val="00BF30FD"/>
    <w:rsid w:val="00BF3126"/>
    <w:rsid w:val="00BF34C7"/>
    <w:rsid w:val="00BF4BBD"/>
    <w:rsid w:val="00BF51C2"/>
    <w:rsid w:val="00BF521D"/>
    <w:rsid w:val="00BF5B55"/>
    <w:rsid w:val="00BF6C62"/>
    <w:rsid w:val="00BF753D"/>
    <w:rsid w:val="00BF7935"/>
    <w:rsid w:val="00C00239"/>
    <w:rsid w:val="00C006B2"/>
    <w:rsid w:val="00C011B8"/>
    <w:rsid w:val="00C011BF"/>
    <w:rsid w:val="00C01C1C"/>
    <w:rsid w:val="00C02012"/>
    <w:rsid w:val="00C023E4"/>
    <w:rsid w:val="00C02867"/>
    <w:rsid w:val="00C029F7"/>
    <w:rsid w:val="00C03261"/>
    <w:rsid w:val="00C03964"/>
    <w:rsid w:val="00C042D9"/>
    <w:rsid w:val="00C04A7A"/>
    <w:rsid w:val="00C05042"/>
    <w:rsid w:val="00C05959"/>
    <w:rsid w:val="00C06119"/>
    <w:rsid w:val="00C0627C"/>
    <w:rsid w:val="00C0673C"/>
    <w:rsid w:val="00C068A0"/>
    <w:rsid w:val="00C06EAD"/>
    <w:rsid w:val="00C0774D"/>
    <w:rsid w:val="00C07993"/>
    <w:rsid w:val="00C1026C"/>
    <w:rsid w:val="00C114BF"/>
    <w:rsid w:val="00C11572"/>
    <w:rsid w:val="00C11A39"/>
    <w:rsid w:val="00C11D51"/>
    <w:rsid w:val="00C11FF3"/>
    <w:rsid w:val="00C12347"/>
    <w:rsid w:val="00C13151"/>
    <w:rsid w:val="00C1421A"/>
    <w:rsid w:val="00C14293"/>
    <w:rsid w:val="00C14F4C"/>
    <w:rsid w:val="00C15B15"/>
    <w:rsid w:val="00C15D6A"/>
    <w:rsid w:val="00C16016"/>
    <w:rsid w:val="00C163F0"/>
    <w:rsid w:val="00C16A07"/>
    <w:rsid w:val="00C16A77"/>
    <w:rsid w:val="00C16D00"/>
    <w:rsid w:val="00C1717F"/>
    <w:rsid w:val="00C173B5"/>
    <w:rsid w:val="00C206B8"/>
    <w:rsid w:val="00C20B50"/>
    <w:rsid w:val="00C20D88"/>
    <w:rsid w:val="00C20EF1"/>
    <w:rsid w:val="00C210DA"/>
    <w:rsid w:val="00C2175D"/>
    <w:rsid w:val="00C2265B"/>
    <w:rsid w:val="00C22F7E"/>
    <w:rsid w:val="00C23645"/>
    <w:rsid w:val="00C23D61"/>
    <w:rsid w:val="00C24A03"/>
    <w:rsid w:val="00C2523A"/>
    <w:rsid w:val="00C253B5"/>
    <w:rsid w:val="00C25500"/>
    <w:rsid w:val="00C2644B"/>
    <w:rsid w:val="00C267F9"/>
    <w:rsid w:val="00C27124"/>
    <w:rsid w:val="00C272F3"/>
    <w:rsid w:val="00C306FB"/>
    <w:rsid w:val="00C309AD"/>
    <w:rsid w:val="00C30A8D"/>
    <w:rsid w:val="00C3123A"/>
    <w:rsid w:val="00C31886"/>
    <w:rsid w:val="00C3210A"/>
    <w:rsid w:val="00C336F4"/>
    <w:rsid w:val="00C33AD8"/>
    <w:rsid w:val="00C33D70"/>
    <w:rsid w:val="00C33F29"/>
    <w:rsid w:val="00C34217"/>
    <w:rsid w:val="00C35904"/>
    <w:rsid w:val="00C36001"/>
    <w:rsid w:val="00C3716A"/>
    <w:rsid w:val="00C37636"/>
    <w:rsid w:val="00C377AB"/>
    <w:rsid w:val="00C3793F"/>
    <w:rsid w:val="00C40505"/>
    <w:rsid w:val="00C40736"/>
    <w:rsid w:val="00C40CCB"/>
    <w:rsid w:val="00C41A75"/>
    <w:rsid w:val="00C41AE9"/>
    <w:rsid w:val="00C42BB6"/>
    <w:rsid w:val="00C42BF5"/>
    <w:rsid w:val="00C42DCB"/>
    <w:rsid w:val="00C4337C"/>
    <w:rsid w:val="00C43B4C"/>
    <w:rsid w:val="00C440AC"/>
    <w:rsid w:val="00C44141"/>
    <w:rsid w:val="00C44668"/>
    <w:rsid w:val="00C44A85"/>
    <w:rsid w:val="00C45F93"/>
    <w:rsid w:val="00C46922"/>
    <w:rsid w:val="00C46C86"/>
    <w:rsid w:val="00C46DF0"/>
    <w:rsid w:val="00C47336"/>
    <w:rsid w:val="00C479EC"/>
    <w:rsid w:val="00C47D84"/>
    <w:rsid w:val="00C50321"/>
    <w:rsid w:val="00C50C99"/>
    <w:rsid w:val="00C5150E"/>
    <w:rsid w:val="00C51D57"/>
    <w:rsid w:val="00C52184"/>
    <w:rsid w:val="00C52695"/>
    <w:rsid w:val="00C52777"/>
    <w:rsid w:val="00C52AE1"/>
    <w:rsid w:val="00C53930"/>
    <w:rsid w:val="00C539D0"/>
    <w:rsid w:val="00C54057"/>
    <w:rsid w:val="00C54A8E"/>
    <w:rsid w:val="00C553CA"/>
    <w:rsid w:val="00C554E3"/>
    <w:rsid w:val="00C5556D"/>
    <w:rsid w:val="00C5582A"/>
    <w:rsid w:val="00C55F4E"/>
    <w:rsid w:val="00C566E7"/>
    <w:rsid w:val="00C56CEA"/>
    <w:rsid w:val="00C5718E"/>
    <w:rsid w:val="00C577FF"/>
    <w:rsid w:val="00C6059E"/>
    <w:rsid w:val="00C61925"/>
    <w:rsid w:val="00C61DC0"/>
    <w:rsid w:val="00C61FA4"/>
    <w:rsid w:val="00C6226F"/>
    <w:rsid w:val="00C62D5B"/>
    <w:rsid w:val="00C63180"/>
    <w:rsid w:val="00C641CB"/>
    <w:rsid w:val="00C641FB"/>
    <w:rsid w:val="00C6443F"/>
    <w:rsid w:val="00C6489F"/>
    <w:rsid w:val="00C648BC"/>
    <w:rsid w:val="00C64ED3"/>
    <w:rsid w:val="00C65044"/>
    <w:rsid w:val="00C6556D"/>
    <w:rsid w:val="00C657E5"/>
    <w:rsid w:val="00C65A25"/>
    <w:rsid w:val="00C665F9"/>
    <w:rsid w:val="00C666C1"/>
    <w:rsid w:val="00C66F0C"/>
    <w:rsid w:val="00C702E2"/>
    <w:rsid w:val="00C7158E"/>
    <w:rsid w:val="00C71774"/>
    <w:rsid w:val="00C718CA"/>
    <w:rsid w:val="00C7235F"/>
    <w:rsid w:val="00C7268F"/>
    <w:rsid w:val="00C72BD1"/>
    <w:rsid w:val="00C73569"/>
    <w:rsid w:val="00C73EBB"/>
    <w:rsid w:val="00C750EF"/>
    <w:rsid w:val="00C751E7"/>
    <w:rsid w:val="00C7524F"/>
    <w:rsid w:val="00C758F5"/>
    <w:rsid w:val="00C75E5B"/>
    <w:rsid w:val="00C76355"/>
    <w:rsid w:val="00C76629"/>
    <w:rsid w:val="00C767F5"/>
    <w:rsid w:val="00C76C90"/>
    <w:rsid w:val="00C7738A"/>
    <w:rsid w:val="00C777E6"/>
    <w:rsid w:val="00C805EA"/>
    <w:rsid w:val="00C809AE"/>
    <w:rsid w:val="00C80AA6"/>
    <w:rsid w:val="00C81850"/>
    <w:rsid w:val="00C81B24"/>
    <w:rsid w:val="00C82419"/>
    <w:rsid w:val="00C824E3"/>
    <w:rsid w:val="00C82537"/>
    <w:rsid w:val="00C83C4A"/>
    <w:rsid w:val="00C84334"/>
    <w:rsid w:val="00C84752"/>
    <w:rsid w:val="00C85354"/>
    <w:rsid w:val="00C85B48"/>
    <w:rsid w:val="00C85DD3"/>
    <w:rsid w:val="00C85EF9"/>
    <w:rsid w:val="00C869D0"/>
    <w:rsid w:val="00C86CC3"/>
    <w:rsid w:val="00C87A8B"/>
    <w:rsid w:val="00C90AC5"/>
    <w:rsid w:val="00C90D43"/>
    <w:rsid w:val="00C90E7B"/>
    <w:rsid w:val="00C934C8"/>
    <w:rsid w:val="00C93746"/>
    <w:rsid w:val="00C93851"/>
    <w:rsid w:val="00C9390B"/>
    <w:rsid w:val="00C93E88"/>
    <w:rsid w:val="00C94F79"/>
    <w:rsid w:val="00C9574A"/>
    <w:rsid w:val="00C96B68"/>
    <w:rsid w:val="00CA03F0"/>
    <w:rsid w:val="00CA1549"/>
    <w:rsid w:val="00CA1A8E"/>
    <w:rsid w:val="00CA1BAC"/>
    <w:rsid w:val="00CA1E16"/>
    <w:rsid w:val="00CA2071"/>
    <w:rsid w:val="00CA250C"/>
    <w:rsid w:val="00CA273D"/>
    <w:rsid w:val="00CA2ADF"/>
    <w:rsid w:val="00CA3285"/>
    <w:rsid w:val="00CA332C"/>
    <w:rsid w:val="00CA3474"/>
    <w:rsid w:val="00CA349D"/>
    <w:rsid w:val="00CA4005"/>
    <w:rsid w:val="00CA4537"/>
    <w:rsid w:val="00CA4DAE"/>
    <w:rsid w:val="00CA5297"/>
    <w:rsid w:val="00CA5B62"/>
    <w:rsid w:val="00CA6102"/>
    <w:rsid w:val="00CA68E0"/>
    <w:rsid w:val="00CA710B"/>
    <w:rsid w:val="00CA7C73"/>
    <w:rsid w:val="00CB0133"/>
    <w:rsid w:val="00CB046F"/>
    <w:rsid w:val="00CB04BF"/>
    <w:rsid w:val="00CB0B79"/>
    <w:rsid w:val="00CB1077"/>
    <w:rsid w:val="00CB10E8"/>
    <w:rsid w:val="00CB1179"/>
    <w:rsid w:val="00CB16EF"/>
    <w:rsid w:val="00CB172B"/>
    <w:rsid w:val="00CB1DB3"/>
    <w:rsid w:val="00CB24CA"/>
    <w:rsid w:val="00CB24F0"/>
    <w:rsid w:val="00CB291A"/>
    <w:rsid w:val="00CB320D"/>
    <w:rsid w:val="00CB3325"/>
    <w:rsid w:val="00CB39D7"/>
    <w:rsid w:val="00CB3E9B"/>
    <w:rsid w:val="00CB3FDE"/>
    <w:rsid w:val="00CB4449"/>
    <w:rsid w:val="00CB44A3"/>
    <w:rsid w:val="00CB5299"/>
    <w:rsid w:val="00CB56B3"/>
    <w:rsid w:val="00CB5A97"/>
    <w:rsid w:val="00CB690B"/>
    <w:rsid w:val="00CB6E95"/>
    <w:rsid w:val="00CB7867"/>
    <w:rsid w:val="00CB7D3D"/>
    <w:rsid w:val="00CC1389"/>
    <w:rsid w:val="00CC16EF"/>
    <w:rsid w:val="00CC180B"/>
    <w:rsid w:val="00CC1DCD"/>
    <w:rsid w:val="00CC27B5"/>
    <w:rsid w:val="00CC36DE"/>
    <w:rsid w:val="00CC40A7"/>
    <w:rsid w:val="00CC46CF"/>
    <w:rsid w:val="00CC53AF"/>
    <w:rsid w:val="00CC5578"/>
    <w:rsid w:val="00CC568E"/>
    <w:rsid w:val="00CC5718"/>
    <w:rsid w:val="00CC5F29"/>
    <w:rsid w:val="00CC5FB8"/>
    <w:rsid w:val="00CC6594"/>
    <w:rsid w:val="00CC66C0"/>
    <w:rsid w:val="00CC6F65"/>
    <w:rsid w:val="00CD0F37"/>
    <w:rsid w:val="00CD0FDC"/>
    <w:rsid w:val="00CD1044"/>
    <w:rsid w:val="00CD2636"/>
    <w:rsid w:val="00CD2793"/>
    <w:rsid w:val="00CD27EB"/>
    <w:rsid w:val="00CD3245"/>
    <w:rsid w:val="00CD37AD"/>
    <w:rsid w:val="00CD3873"/>
    <w:rsid w:val="00CD3A40"/>
    <w:rsid w:val="00CD3A81"/>
    <w:rsid w:val="00CD3B9D"/>
    <w:rsid w:val="00CD44C3"/>
    <w:rsid w:val="00CD5636"/>
    <w:rsid w:val="00CD62CA"/>
    <w:rsid w:val="00CD6C79"/>
    <w:rsid w:val="00CD7F1A"/>
    <w:rsid w:val="00CE0733"/>
    <w:rsid w:val="00CE0A2A"/>
    <w:rsid w:val="00CE10EA"/>
    <w:rsid w:val="00CE11E6"/>
    <w:rsid w:val="00CE14A0"/>
    <w:rsid w:val="00CE222D"/>
    <w:rsid w:val="00CE23BB"/>
    <w:rsid w:val="00CE2711"/>
    <w:rsid w:val="00CE271A"/>
    <w:rsid w:val="00CE284C"/>
    <w:rsid w:val="00CE3647"/>
    <w:rsid w:val="00CE3A86"/>
    <w:rsid w:val="00CE44F9"/>
    <w:rsid w:val="00CE4702"/>
    <w:rsid w:val="00CE55CC"/>
    <w:rsid w:val="00CE5C2B"/>
    <w:rsid w:val="00CE5C38"/>
    <w:rsid w:val="00CE62A8"/>
    <w:rsid w:val="00CE6971"/>
    <w:rsid w:val="00CE7653"/>
    <w:rsid w:val="00CE7889"/>
    <w:rsid w:val="00CE7924"/>
    <w:rsid w:val="00CF073F"/>
    <w:rsid w:val="00CF12D8"/>
    <w:rsid w:val="00CF1444"/>
    <w:rsid w:val="00CF15FB"/>
    <w:rsid w:val="00CF1683"/>
    <w:rsid w:val="00CF1EAC"/>
    <w:rsid w:val="00CF2290"/>
    <w:rsid w:val="00CF2ABE"/>
    <w:rsid w:val="00CF2E52"/>
    <w:rsid w:val="00CF2EA7"/>
    <w:rsid w:val="00CF380B"/>
    <w:rsid w:val="00CF3B3C"/>
    <w:rsid w:val="00CF3E7D"/>
    <w:rsid w:val="00CF4016"/>
    <w:rsid w:val="00CF4149"/>
    <w:rsid w:val="00CF44C6"/>
    <w:rsid w:val="00CF46BC"/>
    <w:rsid w:val="00CF4A33"/>
    <w:rsid w:val="00CF595A"/>
    <w:rsid w:val="00CF68AF"/>
    <w:rsid w:val="00CF6E97"/>
    <w:rsid w:val="00CF7561"/>
    <w:rsid w:val="00CF7B12"/>
    <w:rsid w:val="00D00ACA"/>
    <w:rsid w:val="00D00ED4"/>
    <w:rsid w:val="00D01133"/>
    <w:rsid w:val="00D01429"/>
    <w:rsid w:val="00D01CE1"/>
    <w:rsid w:val="00D022CB"/>
    <w:rsid w:val="00D026C9"/>
    <w:rsid w:val="00D03323"/>
    <w:rsid w:val="00D0343D"/>
    <w:rsid w:val="00D03531"/>
    <w:rsid w:val="00D035A4"/>
    <w:rsid w:val="00D03947"/>
    <w:rsid w:val="00D03A3B"/>
    <w:rsid w:val="00D04F1B"/>
    <w:rsid w:val="00D051BC"/>
    <w:rsid w:val="00D05256"/>
    <w:rsid w:val="00D053E1"/>
    <w:rsid w:val="00D0664B"/>
    <w:rsid w:val="00D06863"/>
    <w:rsid w:val="00D07657"/>
    <w:rsid w:val="00D07C3D"/>
    <w:rsid w:val="00D07EDB"/>
    <w:rsid w:val="00D07F01"/>
    <w:rsid w:val="00D10079"/>
    <w:rsid w:val="00D1083C"/>
    <w:rsid w:val="00D1091A"/>
    <w:rsid w:val="00D11274"/>
    <w:rsid w:val="00D11691"/>
    <w:rsid w:val="00D11E2B"/>
    <w:rsid w:val="00D11F0B"/>
    <w:rsid w:val="00D12952"/>
    <w:rsid w:val="00D12C76"/>
    <w:rsid w:val="00D1367B"/>
    <w:rsid w:val="00D137F8"/>
    <w:rsid w:val="00D158C1"/>
    <w:rsid w:val="00D15C00"/>
    <w:rsid w:val="00D160B4"/>
    <w:rsid w:val="00D1619F"/>
    <w:rsid w:val="00D16C8A"/>
    <w:rsid w:val="00D17A7B"/>
    <w:rsid w:val="00D2016A"/>
    <w:rsid w:val="00D20BCF"/>
    <w:rsid w:val="00D20F0D"/>
    <w:rsid w:val="00D216EA"/>
    <w:rsid w:val="00D21754"/>
    <w:rsid w:val="00D21800"/>
    <w:rsid w:val="00D21B7D"/>
    <w:rsid w:val="00D22183"/>
    <w:rsid w:val="00D22258"/>
    <w:rsid w:val="00D22A8A"/>
    <w:rsid w:val="00D22B4D"/>
    <w:rsid w:val="00D235EA"/>
    <w:rsid w:val="00D2369B"/>
    <w:rsid w:val="00D237F0"/>
    <w:rsid w:val="00D23B0D"/>
    <w:rsid w:val="00D24724"/>
    <w:rsid w:val="00D24749"/>
    <w:rsid w:val="00D247A9"/>
    <w:rsid w:val="00D25589"/>
    <w:rsid w:val="00D25E5D"/>
    <w:rsid w:val="00D26E3E"/>
    <w:rsid w:val="00D30BB3"/>
    <w:rsid w:val="00D31897"/>
    <w:rsid w:val="00D322A1"/>
    <w:rsid w:val="00D32324"/>
    <w:rsid w:val="00D326C2"/>
    <w:rsid w:val="00D328D4"/>
    <w:rsid w:val="00D32F33"/>
    <w:rsid w:val="00D330B7"/>
    <w:rsid w:val="00D3358B"/>
    <w:rsid w:val="00D337EC"/>
    <w:rsid w:val="00D339E1"/>
    <w:rsid w:val="00D33B6A"/>
    <w:rsid w:val="00D33D80"/>
    <w:rsid w:val="00D33F7C"/>
    <w:rsid w:val="00D3422E"/>
    <w:rsid w:val="00D350E6"/>
    <w:rsid w:val="00D3514C"/>
    <w:rsid w:val="00D35802"/>
    <w:rsid w:val="00D35E8F"/>
    <w:rsid w:val="00D3699F"/>
    <w:rsid w:val="00D36C9D"/>
    <w:rsid w:val="00D36D36"/>
    <w:rsid w:val="00D36F06"/>
    <w:rsid w:val="00D37565"/>
    <w:rsid w:val="00D3757E"/>
    <w:rsid w:val="00D3782A"/>
    <w:rsid w:val="00D37AB7"/>
    <w:rsid w:val="00D37ECE"/>
    <w:rsid w:val="00D37FB6"/>
    <w:rsid w:val="00D40F1D"/>
    <w:rsid w:val="00D41E09"/>
    <w:rsid w:val="00D429D2"/>
    <w:rsid w:val="00D431CF"/>
    <w:rsid w:val="00D435F2"/>
    <w:rsid w:val="00D436AE"/>
    <w:rsid w:val="00D43B39"/>
    <w:rsid w:val="00D43F3C"/>
    <w:rsid w:val="00D43FFC"/>
    <w:rsid w:val="00D4516F"/>
    <w:rsid w:val="00D45A8D"/>
    <w:rsid w:val="00D45D09"/>
    <w:rsid w:val="00D45FE3"/>
    <w:rsid w:val="00D46E42"/>
    <w:rsid w:val="00D4770D"/>
    <w:rsid w:val="00D47EC8"/>
    <w:rsid w:val="00D47ED4"/>
    <w:rsid w:val="00D5067D"/>
    <w:rsid w:val="00D50B24"/>
    <w:rsid w:val="00D50F50"/>
    <w:rsid w:val="00D50F7E"/>
    <w:rsid w:val="00D5137E"/>
    <w:rsid w:val="00D51714"/>
    <w:rsid w:val="00D520CC"/>
    <w:rsid w:val="00D52175"/>
    <w:rsid w:val="00D52C08"/>
    <w:rsid w:val="00D53A12"/>
    <w:rsid w:val="00D54A5D"/>
    <w:rsid w:val="00D55414"/>
    <w:rsid w:val="00D556FE"/>
    <w:rsid w:val="00D5578F"/>
    <w:rsid w:val="00D55B97"/>
    <w:rsid w:val="00D56978"/>
    <w:rsid w:val="00D6057C"/>
    <w:rsid w:val="00D61118"/>
    <w:rsid w:val="00D615C2"/>
    <w:rsid w:val="00D634B5"/>
    <w:rsid w:val="00D63F22"/>
    <w:rsid w:val="00D641F0"/>
    <w:rsid w:val="00D64BB7"/>
    <w:rsid w:val="00D64E02"/>
    <w:rsid w:val="00D65776"/>
    <w:rsid w:val="00D65E15"/>
    <w:rsid w:val="00D660D2"/>
    <w:rsid w:val="00D6671C"/>
    <w:rsid w:val="00D67515"/>
    <w:rsid w:val="00D6771B"/>
    <w:rsid w:val="00D6777B"/>
    <w:rsid w:val="00D67800"/>
    <w:rsid w:val="00D67B74"/>
    <w:rsid w:val="00D7037D"/>
    <w:rsid w:val="00D70E4A"/>
    <w:rsid w:val="00D71226"/>
    <w:rsid w:val="00D718A9"/>
    <w:rsid w:val="00D71AB6"/>
    <w:rsid w:val="00D71F27"/>
    <w:rsid w:val="00D7210E"/>
    <w:rsid w:val="00D72B03"/>
    <w:rsid w:val="00D7333D"/>
    <w:rsid w:val="00D73863"/>
    <w:rsid w:val="00D73A93"/>
    <w:rsid w:val="00D745CA"/>
    <w:rsid w:val="00D74D87"/>
    <w:rsid w:val="00D75F18"/>
    <w:rsid w:val="00D75FF1"/>
    <w:rsid w:val="00D7742A"/>
    <w:rsid w:val="00D77644"/>
    <w:rsid w:val="00D77ADD"/>
    <w:rsid w:val="00D77EFD"/>
    <w:rsid w:val="00D801A4"/>
    <w:rsid w:val="00D803AF"/>
    <w:rsid w:val="00D805D2"/>
    <w:rsid w:val="00D80BCE"/>
    <w:rsid w:val="00D80D45"/>
    <w:rsid w:val="00D8191B"/>
    <w:rsid w:val="00D820D2"/>
    <w:rsid w:val="00D82135"/>
    <w:rsid w:val="00D83856"/>
    <w:rsid w:val="00D83D8E"/>
    <w:rsid w:val="00D83F2C"/>
    <w:rsid w:val="00D849DC"/>
    <w:rsid w:val="00D84DD5"/>
    <w:rsid w:val="00D84ED1"/>
    <w:rsid w:val="00D86183"/>
    <w:rsid w:val="00D86347"/>
    <w:rsid w:val="00D87484"/>
    <w:rsid w:val="00D9000C"/>
    <w:rsid w:val="00D90206"/>
    <w:rsid w:val="00D9037F"/>
    <w:rsid w:val="00D906AF"/>
    <w:rsid w:val="00D907A2"/>
    <w:rsid w:val="00D92D9D"/>
    <w:rsid w:val="00D93090"/>
    <w:rsid w:val="00D9336E"/>
    <w:rsid w:val="00D9346B"/>
    <w:rsid w:val="00D93647"/>
    <w:rsid w:val="00D9392E"/>
    <w:rsid w:val="00D943DB"/>
    <w:rsid w:val="00D94618"/>
    <w:rsid w:val="00D96916"/>
    <w:rsid w:val="00D96D84"/>
    <w:rsid w:val="00D97854"/>
    <w:rsid w:val="00D97CAA"/>
    <w:rsid w:val="00DA0B4C"/>
    <w:rsid w:val="00DA0B90"/>
    <w:rsid w:val="00DA17B9"/>
    <w:rsid w:val="00DA2B6B"/>
    <w:rsid w:val="00DA3ECB"/>
    <w:rsid w:val="00DA4C33"/>
    <w:rsid w:val="00DA4C50"/>
    <w:rsid w:val="00DA6A38"/>
    <w:rsid w:val="00DA7127"/>
    <w:rsid w:val="00DA7A68"/>
    <w:rsid w:val="00DB02C9"/>
    <w:rsid w:val="00DB1221"/>
    <w:rsid w:val="00DB1B94"/>
    <w:rsid w:val="00DB201D"/>
    <w:rsid w:val="00DB2865"/>
    <w:rsid w:val="00DB2CC5"/>
    <w:rsid w:val="00DB2E39"/>
    <w:rsid w:val="00DB2EE4"/>
    <w:rsid w:val="00DB3CF3"/>
    <w:rsid w:val="00DB49BA"/>
    <w:rsid w:val="00DB54EB"/>
    <w:rsid w:val="00DB5A19"/>
    <w:rsid w:val="00DB5D89"/>
    <w:rsid w:val="00DB665F"/>
    <w:rsid w:val="00DB66BA"/>
    <w:rsid w:val="00DB67E9"/>
    <w:rsid w:val="00DB6912"/>
    <w:rsid w:val="00DB69AB"/>
    <w:rsid w:val="00DB7046"/>
    <w:rsid w:val="00DB7B05"/>
    <w:rsid w:val="00DC0165"/>
    <w:rsid w:val="00DC06EE"/>
    <w:rsid w:val="00DC0963"/>
    <w:rsid w:val="00DC2DFF"/>
    <w:rsid w:val="00DC2ECE"/>
    <w:rsid w:val="00DC30D2"/>
    <w:rsid w:val="00DC4B8B"/>
    <w:rsid w:val="00DC4E79"/>
    <w:rsid w:val="00DC5428"/>
    <w:rsid w:val="00DC5C2C"/>
    <w:rsid w:val="00DC61FB"/>
    <w:rsid w:val="00DC7F2D"/>
    <w:rsid w:val="00DD0DED"/>
    <w:rsid w:val="00DD1F58"/>
    <w:rsid w:val="00DD2B8F"/>
    <w:rsid w:val="00DD3F47"/>
    <w:rsid w:val="00DD4C17"/>
    <w:rsid w:val="00DD6404"/>
    <w:rsid w:val="00DD681D"/>
    <w:rsid w:val="00DD6928"/>
    <w:rsid w:val="00DD6EBD"/>
    <w:rsid w:val="00DE107F"/>
    <w:rsid w:val="00DE14B4"/>
    <w:rsid w:val="00DE1954"/>
    <w:rsid w:val="00DE1BA4"/>
    <w:rsid w:val="00DE203F"/>
    <w:rsid w:val="00DE3217"/>
    <w:rsid w:val="00DE3425"/>
    <w:rsid w:val="00DE401B"/>
    <w:rsid w:val="00DE4627"/>
    <w:rsid w:val="00DE4898"/>
    <w:rsid w:val="00DE4D41"/>
    <w:rsid w:val="00DE5C79"/>
    <w:rsid w:val="00DE652E"/>
    <w:rsid w:val="00DE65EF"/>
    <w:rsid w:val="00DE6793"/>
    <w:rsid w:val="00DE67CA"/>
    <w:rsid w:val="00DF0136"/>
    <w:rsid w:val="00DF01D3"/>
    <w:rsid w:val="00DF06F6"/>
    <w:rsid w:val="00DF0E3B"/>
    <w:rsid w:val="00DF1712"/>
    <w:rsid w:val="00DF1C10"/>
    <w:rsid w:val="00DF2283"/>
    <w:rsid w:val="00DF27B2"/>
    <w:rsid w:val="00DF291E"/>
    <w:rsid w:val="00DF3510"/>
    <w:rsid w:val="00DF502D"/>
    <w:rsid w:val="00DF5692"/>
    <w:rsid w:val="00DF6725"/>
    <w:rsid w:val="00DF6B40"/>
    <w:rsid w:val="00DF725E"/>
    <w:rsid w:val="00DF7F8B"/>
    <w:rsid w:val="00E008DC"/>
    <w:rsid w:val="00E00B31"/>
    <w:rsid w:val="00E00E3A"/>
    <w:rsid w:val="00E015F5"/>
    <w:rsid w:val="00E016CC"/>
    <w:rsid w:val="00E01A0C"/>
    <w:rsid w:val="00E01A9B"/>
    <w:rsid w:val="00E032B9"/>
    <w:rsid w:val="00E033F0"/>
    <w:rsid w:val="00E0340C"/>
    <w:rsid w:val="00E0385D"/>
    <w:rsid w:val="00E03B9C"/>
    <w:rsid w:val="00E03E86"/>
    <w:rsid w:val="00E045BC"/>
    <w:rsid w:val="00E0481D"/>
    <w:rsid w:val="00E04A07"/>
    <w:rsid w:val="00E04CD9"/>
    <w:rsid w:val="00E04EDE"/>
    <w:rsid w:val="00E05062"/>
    <w:rsid w:val="00E05126"/>
    <w:rsid w:val="00E05234"/>
    <w:rsid w:val="00E05453"/>
    <w:rsid w:val="00E05ACD"/>
    <w:rsid w:val="00E05DFB"/>
    <w:rsid w:val="00E06247"/>
    <w:rsid w:val="00E070AC"/>
    <w:rsid w:val="00E1010F"/>
    <w:rsid w:val="00E10694"/>
    <w:rsid w:val="00E10A15"/>
    <w:rsid w:val="00E10D19"/>
    <w:rsid w:val="00E11572"/>
    <w:rsid w:val="00E11693"/>
    <w:rsid w:val="00E11870"/>
    <w:rsid w:val="00E12379"/>
    <w:rsid w:val="00E128F9"/>
    <w:rsid w:val="00E12954"/>
    <w:rsid w:val="00E13092"/>
    <w:rsid w:val="00E135FD"/>
    <w:rsid w:val="00E13A9A"/>
    <w:rsid w:val="00E147FC"/>
    <w:rsid w:val="00E14996"/>
    <w:rsid w:val="00E14B2D"/>
    <w:rsid w:val="00E1535A"/>
    <w:rsid w:val="00E16C61"/>
    <w:rsid w:val="00E16E6E"/>
    <w:rsid w:val="00E1708D"/>
    <w:rsid w:val="00E173E5"/>
    <w:rsid w:val="00E17865"/>
    <w:rsid w:val="00E17A10"/>
    <w:rsid w:val="00E17EAE"/>
    <w:rsid w:val="00E209ED"/>
    <w:rsid w:val="00E21263"/>
    <w:rsid w:val="00E2198D"/>
    <w:rsid w:val="00E2353C"/>
    <w:rsid w:val="00E23791"/>
    <w:rsid w:val="00E23E87"/>
    <w:rsid w:val="00E24042"/>
    <w:rsid w:val="00E25176"/>
    <w:rsid w:val="00E26587"/>
    <w:rsid w:val="00E265C3"/>
    <w:rsid w:val="00E26E17"/>
    <w:rsid w:val="00E2709E"/>
    <w:rsid w:val="00E3082B"/>
    <w:rsid w:val="00E31C75"/>
    <w:rsid w:val="00E33A5C"/>
    <w:rsid w:val="00E33E31"/>
    <w:rsid w:val="00E3437E"/>
    <w:rsid w:val="00E35624"/>
    <w:rsid w:val="00E358D5"/>
    <w:rsid w:val="00E35D98"/>
    <w:rsid w:val="00E35F56"/>
    <w:rsid w:val="00E362AA"/>
    <w:rsid w:val="00E36B8F"/>
    <w:rsid w:val="00E36DB5"/>
    <w:rsid w:val="00E40118"/>
    <w:rsid w:val="00E40F1D"/>
    <w:rsid w:val="00E41029"/>
    <w:rsid w:val="00E419D3"/>
    <w:rsid w:val="00E4270F"/>
    <w:rsid w:val="00E444C8"/>
    <w:rsid w:val="00E44FBD"/>
    <w:rsid w:val="00E45234"/>
    <w:rsid w:val="00E46268"/>
    <w:rsid w:val="00E465E6"/>
    <w:rsid w:val="00E47405"/>
    <w:rsid w:val="00E47A9C"/>
    <w:rsid w:val="00E5053B"/>
    <w:rsid w:val="00E508CD"/>
    <w:rsid w:val="00E50CB2"/>
    <w:rsid w:val="00E5137C"/>
    <w:rsid w:val="00E51A89"/>
    <w:rsid w:val="00E51AF4"/>
    <w:rsid w:val="00E52A78"/>
    <w:rsid w:val="00E533D0"/>
    <w:rsid w:val="00E534D1"/>
    <w:rsid w:val="00E53877"/>
    <w:rsid w:val="00E53B55"/>
    <w:rsid w:val="00E5524D"/>
    <w:rsid w:val="00E55737"/>
    <w:rsid w:val="00E558E6"/>
    <w:rsid w:val="00E55D36"/>
    <w:rsid w:val="00E568FF"/>
    <w:rsid w:val="00E5743E"/>
    <w:rsid w:val="00E577A9"/>
    <w:rsid w:val="00E57E12"/>
    <w:rsid w:val="00E57F52"/>
    <w:rsid w:val="00E6008A"/>
    <w:rsid w:val="00E600DD"/>
    <w:rsid w:val="00E6041F"/>
    <w:rsid w:val="00E60616"/>
    <w:rsid w:val="00E606D2"/>
    <w:rsid w:val="00E60D88"/>
    <w:rsid w:val="00E615BA"/>
    <w:rsid w:val="00E62382"/>
    <w:rsid w:val="00E63AD5"/>
    <w:rsid w:val="00E644C8"/>
    <w:rsid w:val="00E64796"/>
    <w:rsid w:val="00E64847"/>
    <w:rsid w:val="00E64D70"/>
    <w:rsid w:val="00E64ED1"/>
    <w:rsid w:val="00E65CE4"/>
    <w:rsid w:val="00E65F8D"/>
    <w:rsid w:val="00E662B4"/>
    <w:rsid w:val="00E6693F"/>
    <w:rsid w:val="00E671DA"/>
    <w:rsid w:val="00E674F1"/>
    <w:rsid w:val="00E67B72"/>
    <w:rsid w:val="00E67BCA"/>
    <w:rsid w:val="00E70F39"/>
    <w:rsid w:val="00E72AF7"/>
    <w:rsid w:val="00E72FE5"/>
    <w:rsid w:val="00E73528"/>
    <w:rsid w:val="00E73C22"/>
    <w:rsid w:val="00E73F8A"/>
    <w:rsid w:val="00E74503"/>
    <w:rsid w:val="00E7453D"/>
    <w:rsid w:val="00E75C80"/>
    <w:rsid w:val="00E76A84"/>
    <w:rsid w:val="00E76F87"/>
    <w:rsid w:val="00E77027"/>
    <w:rsid w:val="00E77315"/>
    <w:rsid w:val="00E776DB"/>
    <w:rsid w:val="00E77926"/>
    <w:rsid w:val="00E8019E"/>
    <w:rsid w:val="00E80640"/>
    <w:rsid w:val="00E80E8B"/>
    <w:rsid w:val="00E8239D"/>
    <w:rsid w:val="00E82836"/>
    <w:rsid w:val="00E82F5F"/>
    <w:rsid w:val="00E841EC"/>
    <w:rsid w:val="00E845C4"/>
    <w:rsid w:val="00E86023"/>
    <w:rsid w:val="00E86769"/>
    <w:rsid w:val="00E867FF"/>
    <w:rsid w:val="00E86A4F"/>
    <w:rsid w:val="00E86DF6"/>
    <w:rsid w:val="00E87526"/>
    <w:rsid w:val="00E8754F"/>
    <w:rsid w:val="00E876B1"/>
    <w:rsid w:val="00E87A2D"/>
    <w:rsid w:val="00E90605"/>
    <w:rsid w:val="00E90B90"/>
    <w:rsid w:val="00E91AA6"/>
    <w:rsid w:val="00E91E79"/>
    <w:rsid w:val="00E92161"/>
    <w:rsid w:val="00E921D6"/>
    <w:rsid w:val="00E92613"/>
    <w:rsid w:val="00E92A7E"/>
    <w:rsid w:val="00E92CB3"/>
    <w:rsid w:val="00E935CF"/>
    <w:rsid w:val="00E9404E"/>
    <w:rsid w:val="00E9421B"/>
    <w:rsid w:val="00E94DB0"/>
    <w:rsid w:val="00E96765"/>
    <w:rsid w:val="00E97769"/>
    <w:rsid w:val="00EA08ED"/>
    <w:rsid w:val="00EA0D3D"/>
    <w:rsid w:val="00EA0FE1"/>
    <w:rsid w:val="00EA1589"/>
    <w:rsid w:val="00EA15BD"/>
    <w:rsid w:val="00EA18A1"/>
    <w:rsid w:val="00EA1D01"/>
    <w:rsid w:val="00EA1E2C"/>
    <w:rsid w:val="00EA2076"/>
    <w:rsid w:val="00EA2B42"/>
    <w:rsid w:val="00EA3327"/>
    <w:rsid w:val="00EA36CC"/>
    <w:rsid w:val="00EA3D2E"/>
    <w:rsid w:val="00EA4AB3"/>
    <w:rsid w:val="00EA4CDE"/>
    <w:rsid w:val="00EA52A5"/>
    <w:rsid w:val="00EA5C76"/>
    <w:rsid w:val="00EA5F21"/>
    <w:rsid w:val="00EA639D"/>
    <w:rsid w:val="00EA6EAC"/>
    <w:rsid w:val="00EA70A3"/>
    <w:rsid w:val="00EA7666"/>
    <w:rsid w:val="00EB0FCC"/>
    <w:rsid w:val="00EB10DF"/>
    <w:rsid w:val="00EB1A58"/>
    <w:rsid w:val="00EB1D8C"/>
    <w:rsid w:val="00EB2D55"/>
    <w:rsid w:val="00EB3275"/>
    <w:rsid w:val="00EB405F"/>
    <w:rsid w:val="00EB4554"/>
    <w:rsid w:val="00EB45D6"/>
    <w:rsid w:val="00EB49BD"/>
    <w:rsid w:val="00EB5490"/>
    <w:rsid w:val="00EB5F67"/>
    <w:rsid w:val="00EB6397"/>
    <w:rsid w:val="00EB6608"/>
    <w:rsid w:val="00EB728B"/>
    <w:rsid w:val="00EB72E4"/>
    <w:rsid w:val="00EB739F"/>
    <w:rsid w:val="00EC067B"/>
    <w:rsid w:val="00EC1134"/>
    <w:rsid w:val="00EC1F66"/>
    <w:rsid w:val="00EC22CC"/>
    <w:rsid w:val="00EC2D88"/>
    <w:rsid w:val="00EC3550"/>
    <w:rsid w:val="00EC3DC2"/>
    <w:rsid w:val="00EC49E9"/>
    <w:rsid w:val="00EC4F5E"/>
    <w:rsid w:val="00EC4FB2"/>
    <w:rsid w:val="00EC5EDE"/>
    <w:rsid w:val="00EC69A2"/>
    <w:rsid w:val="00EC6F19"/>
    <w:rsid w:val="00EC733B"/>
    <w:rsid w:val="00ED03EB"/>
    <w:rsid w:val="00ED07A0"/>
    <w:rsid w:val="00ED0A03"/>
    <w:rsid w:val="00ED1073"/>
    <w:rsid w:val="00ED1159"/>
    <w:rsid w:val="00ED1EEF"/>
    <w:rsid w:val="00ED264B"/>
    <w:rsid w:val="00ED286A"/>
    <w:rsid w:val="00ED28B4"/>
    <w:rsid w:val="00ED2946"/>
    <w:rsid w:val="00ED2F8B"/>
    <w:rsid w:val="00ED36C6"/>
    <w:rsid w:val="00ED3765"/>
    <w:rsid w:val="00ED3E38"/>
    <w:rsid w:val="00ED5229"/>
    <w:rsid w:val="00ED526D"/>
    <w:rsid w:val="00ED6127"/>
    <w:rsid w:val="00ED6239"/>
    <w:rsid w:val="00ED6311"/>
    <w:rsid w:val="00ED6591"/>
    <w:rsid w:val="00ED6B66"/>
    <w:rsid w:val="00ED6FB6"/>
    <w:rsid w:val="00ED7630"/>
    <w:rsid w:val="00ED7661"/>
    <w:rsid w:val="00ED7A3A"/>
    <w:rsid w:val="00ED7A79"/>
    <w:rsid w:val="00EE035C"/>
    <w:rsid w:val="00EE057F"/>
    <w:rsid w:val="00EE1C93"/>
    <w:rsid w:val="00EE251A"/>
    <w:rsid w:val="00EE26A5"/>
    <w:rsid w:val="00EE2764"/>
    <w:rsid w:val="00EE3160"/>
    <w:rsid w:val="00EE3E0E"/>
    <w:rsid w:val="00EE3EBF"/>
    <w:rsid w:val="00EE4003"/>
    <w:rsid w:val="00EE4A85"/>
    <w:rsid w:val="00EE5208"/>
    <w:rsid w:val="00EE5537"/>
    <w:rsid w:val="00EE5927"/>
    <w:rsid w:val="00EE62D5"/>
    <w:rsid w:val="00EE6749"/>
    <w:rsid w:val="00EE6D21"/>
    <w:rsid w:val="00EE78C9"/>
    <w:rsid w:val="00EF0920"/>
    <w:rsid w:val="00EF0FF9"/>
    <w:rsid w:val="00EF162C"/>
    <w:rsid w:val="00EF1838"/>
    <w:rsid w:val="00EF1B33"/>
    <w:rsid w:val="00EF1C4F"/>
    <w:rsid w:val="00EF1D5D"/>
    <w:rsid w:val="00EF256C"/>
    <w:rsid w:val="00EF2B26"/>
    <w:rsid w:val="00EF2F61"/>
    <w:rsid w:val="00EF2F9B"/>
    <w:rsid w:val="00EF3D17"/>
    <w:rsid w:val="00EF466C"/>
    <w:rsid w:val="00EF4712"/>
    <w:rsid w:val="00EF4768"/>
    <w:rsid w:val="00EF5069"/>
    <w:rsid w:val="00EF53BB"/>
    <w:rsid w:val="00EF6328"/>
    <w:rsid w:val="00EF6A3B"/>
    <w:rsid w:val="00EF735F"/>
    <w:rsid w:val="00EF7482"/>
    <w:rsid w:val="00F002CB"/>
    <w:rsid w:val="00F0053F"/>
    <w:rsid w:val="00F00715"/>
    <w:rsid w:val="00F00B8C"/>
    <w:rsid w:val="00F0106B"/>
    <w:rsid w:val="00F01674"/>
    <w:rsid w:val="00F019F3"/>
    <w:rsid w:val="00F02211"/>
    <w:rsid w:val="00F02281"/>
    <w:rsid w:val="00F0266D"/>
    <w:rsid w:val="00F03C58"/>
    <w:rsid w:val="00F04A5B"/>
    <w:rsid w:val="00F04DA7"/>
    <w:rsid w:val="00F052CC"/>
    <w:rsid w:val="00F0545E"/>
    <w:rsid w:val="00F059D0"/>
    <w:rsid w:val="00F061EA"/>
    <w:rsid w:val="00F06318"/>
    <w:rsid w:val="00F0671E"/>
    <w:rsid w:val="00F077DE"/>
    <w:rsid w:val="00F07820"/>
    <w:rsid w:val="00F07837"/>
    <w:rsid w:val="00F07D24"/>
    <w:rsid w:val="00F100D6"/>
    <w:rsid w:val="00F10331"/>
    <w:rsid w:val="00F10A75"/>
    <w:rsid w:val="00F11124"/>
    <w:rsid w:val="00F11833"/>
    <w:rsid w:val="00F1188A"/>
    <w:rsid w:val="00F11B37"/>
    <w:rsid w:val="00F12205"/>
    <w:rsid w:val="00F126D2"/>
    <w:rsid w:val="00F12B82"/>
    <w:rsid w:val="00F14904"/>
    <w:rsid w:val="00F1511F"/>
    <w:rsid w:val="00F1539B"/>
    <w:rsid w:val="00F1580F"/>
    <w:rsid w:val="00F159B2"/>
    <w:rsid w:val="00F15A04"/>
    <w:rsid w:val="00F160C2"/>
    <w:rsid w:val="00F163B8"/>
    <w:rsid w:val="00F16BF9"/>
    <w:rsid w:val="00F171C4"/>
    <w:rsid w:val="00F171D4"/>
    <w:rsid w:val="00F17214"/>
    <w:rsid w:val="00F17C72"/>
    <w:rsid w:val="00F216EE"/>
    <w:rsid w:val="00F22119"/>
    <w:rsid w:val="00F2219F"/>
    <w:rsid w:val="00F226A0"/>
    <w:rsid w:val="00F22706"/>
    <w:rsid w:val="00F22729"/>
    <w:rsid w:val="00F231A8"/>
    <w:rsid w:val="00F23DE7"/>
    <w:rsid w:val="00F23E54"/>
    <w:rsid w:val="00F23F55"/>
    <w:rsid w:val="00F244C3"/>
    <w:rsid w:val="00F24932"/>
    <w:rsid w:val="00F24B50"/>
    <w:rsid w:val="00F25818"/>
    <w:rsid w:val="00F25831"/>
    <w:rsid w:val="00F2595A"/>
    <w:rsid w:val="00F25DF7"/>
    <w:rsid w:val="00F26D4F"/>
    <w:rsid w:val="00F27977"/>
    <w:rsid w:val="00F27A5A"/>
    <w:rsid w:val="00F30860"/>
    <w:rsid w:val="00F30F5F"/>
    <w:rsid w:val="00F316E3"/>
    <w:rsid w:val="00F31E11"/>
    <w:rsid w:val="00F327B8"/>
    <w:rsid w:val="00F33019"/>
    <w:rsid w:val="00F3355E"/>
    <w:rsid w:val="00F337A6"/>
    <w:rsid w:val="00F3386F"/>
    <w:rsid w:val="00F33EC7"/>
    <w:rsid w:val="00F352BA"/>
    <w:rsid w:val="00F3663D"/>
    <w:rsid w:val="00F36820"/>
    <w:rsid w:val="00F36BD3"/>
    <w:rsid w:val="00F373AA"/>
    <w:rsid w:val="00F37648"/>
    <w:rsid w:val="00F37672"/>
    <w:rsid w:val="00F40736"/>
    <w:rsid w:val="00F41499"/>
    <w:rsid w:val="00F4159A"/>
    <w:rsid w:val="00F41A3E"/>
    <w:rsid w:val="00F41CF0"/>
    <w:rsid w:val="00F41DBA"/>
    <w:rsid w:val="00F41F4B"/>
    <w:rsid w:val="00F421D0"/>
    <w:rsid w:val="00F4290B"/>
    <w:rsid w:val="00F42C0C"/>
    <w:rsid w:val="00F42E42"/>
    <w:rsid w:val="00F43D4A"/>
    <w:rsid w:val="00F44518"/>
    <w:rsid w:val="00F45784"/>
    <w:rsid w:val="00F45D0F"/>
    <w:rsid w:val="00F46E9C"/>
    <w:rsid w:val="00F4720E"/>
    <w:rsid w:val="00F47246"/>
    <w:rsid w:val="00F47724"/>
    <w:rsid w:val="00F47DA4"/>
    <w:rsid w:val="00F50438"/>
    <w:rsid w:val="00F510CC"/>
    <w:rsid w:val="00F53D1E"/>
    <w:rsid w:val="00F53F6C"/>
    <w:rsid w:val="00F5441D"/>
    <w:rsid w:val="00F544B5"/>
    <w:rsid w:val="00F5510B"/>
    <w:rsid w:val="00F556B4"/>
    <w:rsid w:val="00F556FB"/>
    <w:rsid w:val="00F602E1"/>
    <w:rsid w:val="00F60C03"/>
    <w:rsid w:val="00F61228"/>
    <w:rsid w:val="00F614FB"/>
    <w:rsid w:val="00F61BF8"/>
    <w:rsid w:val="00F62C75"/>
    <w:rsid w:val="00F62F35"/>
    <w:rsid w:val="00F62F9C"/>
    <w:rsid w:val="00F63E60"/>
    <w:rsid w:val="00F64219"/>
    <w:rsid w:val="00F64AC1"/>
    <w:rsid w:val="00F64D2E"/>
    <w:rsid w:val="00F663F1"/>
    <w:rsid w:val="00F665AF"/>
    <w:rsid w:val="00F665E5"/>
    <w:rsid w:val="00F677EF"/>
    <w:rsid w:val="00F7023A"/>
    <w:rsid w:val="00F70468"/>
    <w:rsid w:val="00F71038"/>
    <w:rsid w:val="00F71A96"/>
    <w:rsid w:val="00F71E54"/>
    <w:rsid w:val="00F722E8"/>
    <w:rsid w:val="00F72E0D"/>
    <w:rsid w:val="00F736AA"/>
    <w:rsid w:val="00F740D2"/>
    <w:rsid w:val="00F75027"/>
    <w:rsid w:val="00F75105"/>
    <w:rsid w:val="00F7576A"/>
    <w:rsid w:val="00F757D2"/>
    <w:rsid w:val="00F75B7C"/>
    <w:rsid w:val="00F76A27"/>
    <w:rsid w:val="00F76C75"/>
    <w:rsid w:val="00F800A0"/>
    <w:rsid w:val="00F81567"/>
    <w:rsid w:val="00F81C2A"/>
    <w:rsid w:val="00F81D81"/>
    <w:rsid w:val="00F82282"/>
    <w:rsid w:val="00F8277C"/>
    <w:rsid w:val="00F839B5"/>
    <w:rsid w:val="00F8408A"/>
    <w:rsid w:val="00F84A81"/>
    <w:rsid w:val="00F8504A"/>
    <w:rsid w:val="00F85510"/>
    <w:rsid w:val="00F86048"/>
    <w:rsid w:val="00F86103"/>
    <w:rsid w:val="00F86405"/>
    <w:rsid w:val="00F86442"/>
    <w:rsid w:val="00F8670D"/>
    <w:rsid w:val="00F867C1"/>
    <w:rsid w:val="00F867CB"/>
    <w:rsid w:val="00F86841"/>
    <w:rsid w:val="00F8791E"/>
    <w:rsid w:val="00F87F6D"/>
    <w:rsid w:val="00F90264"/>
    <w:rsid w:val="00F92819"/>
    <w:rsid w:val="00F946A4"/>
    <w:rsid w:val="00F947AF"/>
    <w:rsid w:val="00F94CD4"/>
    <w:rsid w:val="00F9517A"/>
    <w:rsid w:val="00F963BB"/>
    <w:rsid w:val="00F965B6"/>
    <w:rsid w:val="00F96DB7"/>
    <w:rsid w:val="00F96E14"/>
    <w:rsid w:val="00F97019"/>
    <w:rsid w:val="00F97626"/>
    <w:rsid w:val="00F977E4"/>
    <w:rsid w:val="00F97DB6"/>
    <w:rsid w:val="00F97E5C"/>
    <w:rsid w:val="00FA0797"/>
    <w:rsid w:val="00FA0804"/>
    <w:rsid w:val="00FA1A04"/>
    <w:rsid w:val="00FA1A3B"/>
    <w:rsid w:val="00FA1CF5"/>
    <w:rsid w:val="00FA2A7E"/>
    <w:rsid w:val="00FA2D7A"/>
    <w:rsid w:val="00FA2D7E"/>
    <w:rsid w:val="00FA2E83"/>
    <w:rsid w:val="00FA3090"/>
    <w:rsid w:val="00FA3142"/>
    <w:rsid w:val="00FA3693"/>
    <w:rsid w:val="00FA39D8"/>
    <w:rsid w:val="00FA40FE"/>
    <w:rsid w:val="00FA6516"/>
    <w:rsid w:val="00FA6DE4"/>
    <w:rsid w:val="00FA6F57"/>
    <w:rsid w:val="00FA7838"/>
    <w:rsid w:val="00FA7CF5"/>
    <w:rsid w:val="00FB023E"/>
    <w:rsid w:val="00FB0258"/>
    <w:rsid w:val="00FB05E1"/>
    <w:rsid w:val="00FB0B64"/>
    <w:rsid w:val="00FB138C"/>
    <w:rsid w:val="00FB13CB"/>
    <w:rsid w:val="00FB1479"/>
    <w:rsid w:val="00FB2355"/>
    <w:rsid w:val="00FB255D"/>
    <w:rsid w:val="00FB2CF0"/>
    <w:rsid w:val="00FB2FB5"/>
    <w:rsid w:val="00FB3CD2"/>
    <w:rsid w:val="00FB3FC4"/>
    <w:rsid w:val="00FB4887"/>
    <w:rsid w:val="00FB5415"/>
    <w:rsid w:val="00FB5765"/>
    <w:rsid w:val="00FB595C"/>
    <w:rsid w:val="00FB5ED6"/>
    <w:rsid w:val="00FB6141"/>
    <w:rsid w:val="00FB6447"/>
    <w:rsid w:val="00FB6914"/>
    <w:rsid w:val="00FB7674"/>
    <w:rsid w:val="00FB7773"/>
    <w:rsid w:val="00FB7FFE"/>
    <w:rsid w:val="00FC021B"/>
    <w:rsid w:val="00FC0523"/>
    <w:rsid w:val="00FC0C93"/>
    <w:rsid w:val="00FC1096"/>
    <w:rsid w:val="00FC2397"/>
    <w:rsid w:val="00FC3340"/>
    <w:rsid w:val="00FC3C40"/>
    <w:rsid w:val="00FC448D"/>
    <w:rsid w:val="00FC46BF"/>
    <w:rsid w:val="00FC49D9"/>
    <w:rsid w:val="00FC5136"/>
    <w:rsid w:val="00FC5F98"/>
    <w:rsid w:val="00FC642C"/>
    <w:rsid w:val="00FC6B2E"/>
    <w:rsid w:val="00FC6BEC"/>
    <w:rsid w:val="00FD1025"/>
    <w:rsid w:val="00FD1051"/>
    <w:rsid w:val="00FD1376"/>
    <w:rsid w:val="00FD18E3"/>
    <w:rsid w:val="00FD1AFE"/>
    <w:rsid w:val="00FD216E"/>
    <w:rsid w:val="00FD2533"/>
    <w:rsid w:val="00FD3893"/>
    <w:rsid w:val="00FD3F66"/>
    <w:rsid w:val="00FD4B39"/>
    <w:rsid w:val="00FD4C81"/>
    <w:rsid w:val="00FD4D29"/>
    <w:rsid w:val="00FD5347"/>
    <w:rsid w:val="00FD537A"/>
    <w:rsid w:val="00FD5D65"/>
    <w:rsid w:val="00FD6092"/>
    <w:rsid w:val="00FD67A7"/>
    <w:rsid w:val="00FD6AC3"/>
    <w:rsid w:val="00FD6E83"/>
    <w:rsid w:val="00FD7697"/>
    <w:rsid w:val="00FD775A"/>
    <w:rsid w:val="00FD7BBF"/>
    <w:rsid w:val="00FE0142"/>
    <w:rsid w:val="00FE0517"/>
    <w:rsid w:val="00FE07A3"/>
    <w:rsid w:val="00FE161C"/>
    <w:rsid w:val="00FE21F5"/>
    <w:rsid w:val="00FE26E0"/>
    <w:rsid w:val="00FE2F4A"/>
    <w:rsid w:val="00FE32E1"/>
    <w:rsid w:val="00FE3513"/>
    <w:rsid w:val="00FE35F8"/>
    <w:rsid w:val="00FE3B93"/>
    <w:rsid w:val="00FE3BE4"/>
    <w:rsid w:val="00FE41FA"/>
    <w:rsid w:val="00FE4512"/>
    <w:rsid w:val="00FE4B5C"/>
    <w:rsid w:val="00FE4CA5"/>
    <w:rsid w:val="00FE4DB4"/>
    <w:rsid w:val="00FE52A8"/>
    <w:rsid w:val="00FE53AD"/>
    <w:rsid w:val="00FE5B25"/>
    <w:rsid w:val="00FE6043"/>
    <w:rsid w:val="00FE75E0"/>
    <w:rsid w:val="00FE7743"/>
    <w:rsid w:val="00FE7BC5"/>
    <w:rsid w:val="00FF0EA5"/>
    <w:rsid w:val="00FF13E2"/>
    <w:rsid w:val="00FF23AE"/>
    <w:rsid w:val="00FF24B8"/>
    <w:rsid w:val="00FF31D3"/>
    <w:rsid w:val="00FF3513"/>
    <w:rsid w:val="00FF3836"/>
    <w:rsid w:val="00FF3A13"/>
    <w:rsid w:val="00FF3AE3"/>
    <w:rsid w:val="00FF3AEB"/>
    <w:rsid w:val="00FF4010"/>
    <w:rsid w:val="00FF4D01"/>
    <w:rsid w:val="00FF5885"/>
    <w:rsid w:val="00FF6440"/>
    <w:rsid w:val="00FF6770"/>
    <w:rsid w:val="00FF68AF"/>
    <w:rsid w:val="00FF6FA0"/>
    <w:rsid w:val="00FF70EA"/>
    <w:rsid w:val="00FF79E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B29F"/>
  <w15:chartTrackingRefBased/>
  <w15:docId w15:val="{7868FFDE-707B-4BED-8F08-962AE3CC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38C"/>
    <w:pPr>
      <w:overflowPunct w:val="0"/>
      <w:autoSpaceDE w:val="0"/>
      <w:autoSpaceDN w:val="0"/>
      <w:adjustRightInd w:val="0"/>
      <w:spacing w:after="0" w:line="240" w:lineRule="auto"/>
      <w:jc w:val="both"/>
      <w:textAlignment w:val="baseline"/>
    </w:pPr>
    <w:rPr>
      <w:rFonts w:ascii="Calibri" w:eastAsia="Times New Roman" w:hAnsi="Calibri" w:cs="Times New Roman"/>
      <w:szCs w:val="20"/>
      <w:lang w:eastAsia="fr-FR"/>
    </w:rPr>
  </w:style>
  <w:style w:type="paragraph" w:styleId="Titre1">
    <w:name w:val="heading 1"/>
    <w:basedOn w:val="Normal"/>
    <w:next w:val="Normal"/>
    <w:link w:val="Titre1Car"/>
    <w:qFormat/>
    <w:rsid w:val="00CE14A0"/>
    <w:pPr>
      <w:keepNext/>
      <w:keepLines/>
      <w:numPr>
        <w:numId w:val="1"/>
      </w:numPr>
      <w:tabs>
        <w:tab w:val="left" w:pos="567"/>
      </w:tabs>
      <w:spacing w:before="240"/>
      <w:outlineLvl w:val="0"/>
    </w:pPr>
    <w:rPr>
      <w:b/>
      <w:caps/>
      <w:sz w:val="24"/>
      <w:szCs w:val="24"/>
    </w:rPr>
  </w:style>
  <w:style w:type="paragraph" w:styleId="Titre2">
    <w:name w:val="heading 2"/>
    <w:basedOn w:val="Normal"/>
    <w:next w:val="Normal"/>
    <w:link w:val="Titre2Car"/>
    <w:qFormat/>
    <w:rsid w:val="00CE14A0"/>
    <w:pPr>
      <w:keepNext/>
      <w:keepLines/>
      <w:numPr>
        <w:ilvl w:val="1"/>
        <w:numId w:val="1"/>
      </w:numPr>
      <w:tabs>
        <w:tab w:val="left" w:pos="567"/>
      </w:tabs>
      <w:spacing w:before="240"/>
      <w:outlineLvl w:val="1"/>
    </w:pPr>
    <w:rPr>
      <w:b/>
      <w:caps/>
    </w:rPr>
  </w:style>
  <w:style w:type="paragraph" w:styleId="Titre3">
    <w:name w:val="heading 3"/>
    <w:basedOn w:val="Default"/>
    <w:next w:val="Default"/>
    <w:link w:val="Titre3Car"/>
    <w:autoRedefine/>
    <w:qFormat/>
    <w:rsid w:val="00D7742A"/>
    <w:pPr>
      <w:keepNext/>
      <w:keepLines/>
      <w:numPr>
        <w:ilvl w:val="2"/>
        <w:numId w:val="1"/>
      </w:numPr>
      <w:tabs>
        <w:tab w:val="left" w:pos="709"/>
      </w:tabs>
      <w:spacing w:before="120"/>
      <w:outlineLvl w:val="2"/>
    </w:pPr>
    <w:rPr>
      <w:b/>
      <w:caps/>
      <w:sz w:val="20"/>
    </w:rPr>
  </w:style>
  <w:style w:type="paragraph" w:styleId="Titre4">
    <w:name w:val="heading 4"/>
    <w:basedOn w:val="Normal"/>
    <w:next w:val="Normal"/>
    <w:link w:val="Titre4Car"/>
    <w:qFormat/>
    <w:rsid w:val="00CE14A0"/>
    <w:pPr>
      <w:keepNext/>
      <w:keepLines/>
      <w:numPr>
        <w:ilvl w:val="3"/>
        <w:numId w:val="1"/>
      </w:numPr>
      <w:tabs>
        <w:tab w:val="left" w:pos="851"/>
      </w:tabs>
      <w:spacing w:before="120"/>
      <w:outlineLvl w:val="3"/>
    </w:pPr>
    <w:rPr>
      <w:b/>
      <w:sz w:val="20"/>
    </w:rPr>
  </w:style>
  <w:style w:type="paragraph" w:styleId="Titre5">
    <w:name w:val="heading 5"/>
    <w:basedOn w:val="Normal"/>
    <w:next w:val="Normal"/>
    <w:link w:val="Titre5Car"/>
    <w:qFormat/>
    <w:rsid w:val="00CE14A0"/>
    <w:pPr>
      <w:numPr>
        <w:ilvl w:val="4"/>
        <w:numId w:val="1"/>
      </w:numPr>
      <w:spacing w:after="60"/>
      <w:outlineLvl w:val="4"/>
    </w:pPr>
    <w:rPr>
      <w:b/>
      <w:i/>
      <w:sz w:val="26"/>
    </w:rPr>
  </w:style>
  <w:style w:type="paragraph" w:styleId="Titre6">
    <w:name w:val="heading 6"/>
    <w:basedOn w:val="Normal"/>
    <w:next w:val="Normal"/>
    <w:link w:val="Titre6Car"/>
    <w:qFormat/>
    <w:rsid w:val="00CE14A0"/>
    <w:pPr>
      <w:numPr>
        <w:ilvl w:val="5"/>
        <w:numId w:val="1"/>
      </w:numPr>
      <w:spacing w:after="60"/>
      <w:outlineLvl w:val="5"/>
    </w:pPr>
    <w:rPr>
      <w:b/>
    </w:rPr>
  </w:style>
  <w:style w:type="paragraph" w:styleId="Titre7">
    <w:name w:val="heading 7"/>
    <w:basedOn w:val="Normal"/>
    <w:next w:val="Normal"/>
    <w:link w:val="Titre7Car"/>
    <w:qFormat/>
    <w:rsid w:val="00CE14A0"/>
    <w:pPr>
      <w:numPr>
        <w:ilvl w:val="6"/>
        <w:numId w:val="1"/>
      </w:numPr>
      <w:spacing w:after="60"/>
      <w:outlineLvl w:val="6"/>
    </w:pPr>
  </w:style>
  <w:style w:type="paragraph" w:styleId="Titre8">
    <w:name w:val="heading 8"/>
    <w:basedOn w:val="Normal"/>
    <w:next w:val="Normal"/>
    <w:link w:val="Titre8Car"/>
    <w:qFormat/>
    <w:rsid w:val="00CE14A0"/>
    <w:pPr>
      <w:numPr>
        <w:ilvl w:val="7"/>
        <w:numId w:val="1"/>
      </w:numPr>
      <w:spacing w:line="280" w:lineRule="atLeast"/>
      <w:outlineLvl w:val="7"/>
    </w:pPr>
    <w:rPr>
      <w:rFonts w:ascii="Palatino" w:hAnsi="Palatino"/>
      <w:i/>
      <w:sz w:val="20"/>
    </w:rPr>
  </w:style>
  <w:style w:type="paragraph" w:styleId="Titre9">
    <w:name w:val="heading 9"/>
    <w:basedOn w:val="Normal"/>
    <w:next w:val="Normal"/>
    <w:link w:val="Titre9Car"/>
    <w:rsid w:val="00CE14A0"/>
    <w:pPr>
      <w:numPr>
        <w:ilvl w:val="8"/>
        <w:numId w:val="1"/>
      </w:numPr>
      <w:spacing w:after="60"/>
      <w:outlineLvl w:val="8"/>
    </w:pPr>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E14A0"/>
    <w:rPr>
      <w:rFonts w:ascii="Calibri" w:eastAsia="Times New Roman" w:hAnsi="Calibri" w:cs="Times New Roman"/>
      <w:b/>
      <w:caps/>
      <w:sz w:val="24"/>
      <w:szCs w:val="24"/>
      <w:lang w:eastAsia="fr-FR"/>
    </w:rPr>
  </w:style>
  <w:style w:type="character" w:customStyle="1" w:styleId="Titre2Car">
    <w:name w:val="Titre 2 Car"/>
    <w:basedOn w:val="Policepardfaut"/>
    <w:link w:val="Titre2"/>
    <w:rsid w:val="00CE14A0"/>
    <w:rPr>
      <w:rFonts w:ascii="Calibri" w:eastAsia="Times New Roman" w:hAnsi="Calibri" w:cs="Times New Roman"/>
      <w:b/>
      <w:caps/>
      <w:szCs w:val="20"/>
      <w:lang w:eastAsia="fr-FR"/>
    </w:rPr>
  </w:style>
  <w:style w:type="character" w:customStyle="1" w:styleId="Titre3Car">
    <w:name w:val="Titre 3 Car"/>
    <w:basedOn w:val="Policepardfaut"/>
    <w:link w:val="Titre3"/>
    <w:rsid w:val="00D7742A"/>
    <w:rPr>
      <w:rFonts w:ascii="Calibri" w:hAnsi="Calibri" w:cs="Calibri"/>
      <w:b/>
      <w:caps/>
      <w:color w:val="000000"/>
      <w:sz w:val="20"/>
      <w:szCs w:val="24"/>
    </w:rPr>
  </w:style>
  <w:style w:type="character" w:customStyle="1" w:styleId="Titre4Car">
    <w:name w:val="Titre 4 Car"/>
    <w:basedOn w:val="Policepardfaut"/>
    <w:link w:val="Titre4"/>
    <w:rsid w:val="00CE14A0"/>
    <w:rPr>
      <w:rFonts w:ascii="Calibri" w:eastAsia="Times New Roman" w:hAnsi="Calibri" w:cs="Times New Roman"/>
      <w:b/>
      <w:sz w:val="20"/>
      <w:szCs w:val="20"/>
      <w:lang w:eastAsia="fr-FR"/>
    </w:rPr>
  </w:style>
  <w:style w:type="character" w:customStyle="1" w:styleId="Titre5Car">
    <w:name w:val="Titre 5 Car"/>
    <w:basedOn w:val="Policepardfaut"/>
    <w:link w:val="Titre5"/>
    <w:rsid w:val="00CE14A0"/>
    <w:rPr>
      <w:rFonts w:ascii="Calibri" w:eastAsia="Times New Roman" w:hAnsi="Calibri" w:cs="Times New Roman"/>
      <w:b/>
      <w:i/>
      <w:sz w:val="26"/>
      <w:szCs w:val="20"/>
      <w:lang w:eastAsia="fr-FR"/>
    </w:rPr>
  </w:style>
  <w:style w:type="character" w:customStyle="1" w:styleId="Titre6Car">
    <w:name w:val="Titre 6 Car"/>
    <w:basedOn w:val="Policepardfaut"/>
    <w:link w:val="Titre6"/>
    <w:rsid w:val="00CE14A0"/>
    <w:rPr>
      <w:rFonts w:ascii="Calibri" w:eastAsia="Times New Roman" w:hAnsi="Calibri" w:cs="Times New Roman"/>
      <w:b/>
      <w:szCs w:val="20"/>
      <w:lang w:eastAsia="fr-FR"/>
    </w:rPr>
  </w:style>
  <w:style w:type="character" w:customStyle="1" w:styleId="Titre7Car">
    <w:name w:val="Titre 7 Car"/>
    <w:basedOn w:val="Policepardfaut"/>
    <w:link w:val="Titre7"/>
    <w:rsid w:val="00CE14A0"/>
    <w:rPr>
      <w:rFonts w:ascii="Calibri" w:eastAsia="Times New Roman" w:hAnsi="Calibri" w:cs="Times New Roman"/>
      <w:szCs w:val="20"/>
      <w:lang w:eastAsia="fr-FR"/>
    </w:rPr>
  </w:style>
  <w:style w:type="character" w:customStyle="1" w:styleId="Titre8Car">
    <w:name w:val="Titre 8 Car"/>
    <w:basedOn w:val="Policepardfaut"/>
    <w:link w:val="Titre8"/>
    <w:rsid w:val="00CE14A0"/>
    <w:rPr>
      <w:rFonts w:ascii="Palatino" w:eastAsia="Times New Roman" w:hAnsi="Palatino" w:cs="Times New Roman"/>
      <w:i/>
      <w:sz w:val="20"/>
      <w:szCs w:val="20"/>
      <w:lang w:eastAsia="fr-FR"/>
    </w:rPr>
  </w:style>
  <w:style w:type="character" w:customStyle="1" w:styleId="Titre9Car">
    <w:name w:val="Titre 9 Car"/>
    <w:basedOn w:val="Policepardfaut"/>
    <w:link w:val="Titre9"/>
    <w:rsid w:val="00CE14A0"/>
    <w:rPr>
      <w:rFonts w:ascii="Arial" w:eastAsia="Times New Roman" w:hAnsi="Arial" w:cs="Times New Roman"/>
      <w:szCs w:val="20"/>
      <w:lang w:eastAsia="fr-FR"/>
    </w:rPr>
  </w:style>
  <w:style w:type="paragraph" w:styleId="Textedebulles">
    <w:name w:val="Balloon Text"/>
    <w:basedOn w:val="Normal"/>
    <w:link w:val="TextedebullesCar"/>
    <w:uiPriority w:val="99"/>
    <w:semiHidden/>
    <w:unhideWhenUsed/>
    <w:rsid w:val="00CE14A0"/>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14A0"/>
    <w:rPr>
      <w:rFonts w:ascii="Segoe UI" w:eastAsia="Times New Roman" w:hAnsi="Segoe UI" w:cs="Segoe UI"/>
      <w:sz w:val="18"/>
      <w:szCs w:val="18"/>
      <w:lang w:eastAsia="fr-FR"/>
    </w:rPr>
  </w:style>
  <w:style w:type="paragraph" w:styleId="Titre">
    <w:name w:val="Title"/>
    <w:basedOn w:val="Normal"/>
    <w:next w:val="Normal"/>
    <w:link w:val="TitreCar"/>
    <w:uiPriority w:val="10"/>
    <w:qFormat/>
    <w:rsid w:val="00CE14A0"/>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E14A0"/>
    <w:rPr>
      <w:rFonts w:asciiTheme="majorHAnsi" w:eastAsiaTheme="majorEastAsia" w:hAnsiTheme="majorHAnsi" w:cstheme="majorBidi"/>
      <w:spacing w:val="-10"/>
      <w:kern w:val="28"/>
      <w:sz w:val="56"/>
      <w:szCs w:val="56"/>
      <w:lang w:eastAsia="fr-FR"/>
    </w:rPr>
  </w:style>
  <w:style w:type="paragraph" w:styleId="Paragraphedeliste">
    <w:name w:val="List Paragraph"/>
    <w:basedOn w:val="Normal"/>
    <w:uiPriority w:val="34"/>
    <w:qFormat/>
    <w:rsid w:val="00CE14A0"/>
    <w:pPr>
      <w:ind w:left="720"/>
      <w:contextualSpacing/>
      <w:jc w:val="left"/>
    </w:pPr>
  </w:style>
  <w:style w:type="paragraph" w:styleId="Lgende">
    <w:name w:val="caption"/>
    <w:basedOn w:val="Normal"/>
    <w:next w:val="Normal"/>
    <w:uiPriority w:val="35"/>
    <w:unhideWhenUsed/>
    <w:qFormat/>
    <w:rsid w:val="00CE14A0"/>
    <w:pPr>
      <w:overflowPunct/>
      <w:autoSpaceDE/>
      <w:autoSpaceDN/>
      <w:adjustRightInd/>
      <w:spacing w:after="200"/>
      <w:jc w:val="left"/>
      <w:textAlignment w:val="auto"/>
    </w:pPr>
    <w:rPr>
      <w:rFonts w:asciiTheme="minorHAnsi" w:eastAsiaTheme="minorEastAsia" w:hAnsiTheme="minorHAnsi" w:cstheme="minorBidi"/>
      <w:i/>
      <w:iCs/>
      <w:color w:val="000000" w:themeColor="text1"/>
      <w:sz w:val="18"/>
      <w:szCs w:val="18"/>
      <w:lang w:eastAsia="zh-CN"/>
    </w:rPr>
  </w:style>
  <w:style w:type="character" w:styleId="Appelnotedebasdep">
    <w:name w:val="footnote reference"/>
    <w:basedOn w:val="Policepardfaut"/>
    <w:uiPriority w:val="99"/>
    <w:semiHidden/>
    <w:unhideWhenUsed/>
    <w:rsid w:val="00CE14A0"/>
    <w:rPr>
      <w:vertAlign w:val="superscript"/>
    </w:rPr>
  </w:style>
  <w:style w:type="character" w:customStyle="1" w:styleId="hps">
    <w:name w:val="hps"/>
    <w:basedOn w:val="Policepardfaut"/>
    <w:rsid w:val="00CE14A0"/>
  </w:style>
  <w:style w:type="character" w:styleId="Textedelespacerserv">
    <w:name w:val="Placeholder Text"/>
    <w:basedOn w:val="Policepardfaut"/>
    <w:uiPriority w:val="99"/>
    <w:semiHidden/>
    <w:rsid w:val="00CE14A0"/>
    <w:rPr>
      <w:color w:val="808080"/>
    </w:rPr>
  </w:style>
  <w:style w:type="table" w:styleId="Grilledutableau">
    <w:name w:val="Table Grid"/>
    <w:basedOn w:val="TableauNormal"/>
    <w:uiPriority w:val="59"/>
    <w:rsid w:val="00CE14A0"/>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rsid w:val="00CE14A0"/>
    <w:pPr>
      <w:numPr>
        <w:numId w:val="6"/>
      </w:numPr>
    </w:pPr>
  </w:style>
  <w:style w:type="character" w:customStyle="1" w:styleId="shorttext">
    <w:name w:val="short_text"/>
    <w:basedOn w:val="Policepardfaut"/>
    <w:rsid w:val="00CE14A0"/>
  </w:style>
  <w:style w:type="character" w:styleId="Marquedecommentaire">
    <w:name w:val="annotation reference"/>
    <w:basedOn w:val="Policepardfaut"/>
    <w:uiPriority w:val="99"/>
    <w:semiHidden/>
    <w:unhideWhenUsed/>
    <w:rsid w:val="00CE14A0"/>
    <w:rPr>
      <w:sz w:val="16"/>
      <w:szCs w:val="16"/>
    </w:rPr>
  </w:style>
  <w:style w:type="paragraph" w:styleId="Commentaire">
    <w:name w:val="annotation text"/>
    <w:basedOn w:val="Normal"/>
    <w:link w:val="CommentaireCar"/>
    <w:uiPriority w:val="99"/>
    <w:semiHidden/>
    <w:unhideWhenUsed/>
    <w:rsid w:val="00CE14A0"/>
    <w:rPr>
      <w:sz w:val="20"/>
    </w:rPr>
  </w:style>
  <w:style w:type="character" w:customStyle="1" w:styleId="CommentaireCar">
    <w:name w:val="Commentaire Car"/>
    <w:basedOn w:val="Policepardfaut"/>
    <w:link w:val="Commentaire"/>
    <w:uiPriority w:val="99"/>
    <w:semiHidden/>
    <w:rsid w:val="00CE14A0"/>
    <w:rPr>
      <w:rFonts w:ascii="Calibri" w:eastAsia="Times New Roman" w:hAnsi="Calibri"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CE14A0"/>
    <w:rPr>
      <w:b/>
      <w:bCs/>
    </w:rPr>
  </w:style>
  <w:style w:type="character" w:customStyle="1" w:styleId="ObjetducommentaireCar">
    <w:name w:val="Objet du commentaire Car"/>
    <w:basedOn w:val="CommentaireCar"/>
    <w:link w:val="Objetducommentaire"/>
    <w:uiPriority w:val="99"/>
    <w:semiHidden/>
    <w:rsid w:val="00CE14A0"/>
    <w:rPr>
      <w:rFonts w:ascii="Calibri" w:eastAsia="Times New Roman" w:hAnsi="Calibri" w:cs="Times New Roman"/>
      <w:b/>
      <w:bCs/>
      <w:sz w:val="20"/>
      <w:szCs w:val="20"/>
      <w:lang w:eastAsia="fr-FR"/>
    </w:rPr>
  </w:style>
  <w:style w:type="paragraph" w:customStyle="1" w:styleId="Default">
    <w:name w:val="Default"/>
    <w:rsid w:val="00CE14A0"/>
    <w:pPr>
      <w:autoSpaceDE w:val="0"/>
      <w:autoSpaceDN w:val="0"/>
      <w:adjustRightInd w:val="0"/>
      <w:spacing w:after="0" w:line="240" w:lineRule="auto"/>
    </w:pPr>
    <w:rPr>
      <w:rFonts w:ascii="Calibri" w:hAnsi="Calibri" w:cs="Calibri"/>
      <w:color w:val="000000"/>
      <w:sz w:val="24"/>
      <w:szCs w:val="24"/>
    </w:rPr>
  </w:style>
  <w:style w:type="paragraph" w:customStyle="1" w:styleId="MDPI31text">
    <w:name w:val="MDPI_3.1_text"/>
    <w:qFormat/>
    <w:rsid w:val="007A2F1E"/>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39equation">
    <w:name w:val="MDPI_3.9_equation"/>
    <w:basedOn w:val="MDPI31text"/>
    <w:qFormat/>
    <w:rsid w:val="00E00E3A"/>
    <w:pPr>
      <w:spacing w:before="120" w:after="120"/>
      <w:ind w:left="709" w:firstLine="0"/>
      <w:jc w:val="center"/>
    </w:pPr>
  </w:style>
  <w:style w:type="paragraph" w:customStyle="1" w:styleId="MDPI3aequationnumber">
    <w:name w:val="MDPI_3.a_equation_number"/>
    <w:basedOn w:val="MDPI31text"/>
    <w:qFormat/>
    <w:rsid w:val="00E00E3A"/>
    <w:pPr>
      <w:spacing w:before="120" w:after="120" w:line="240" w:lineRule="auto"/>
      <w:ind w:firstLine="0"/>
      <w:jc w:val="right"/>
    </w:pPr>
  </w:style>
  <w:style w:type="character" w:styleId="lev">
    <w:name w:val="Strong"/>
    <w:basedOn w:val="Policepardfaut"/>
    <w:uiPriority w:val="22"/>
    <w:qFormat/>
    <w:rsid w:val="00325E43"/>
    <w:rPr>
      <w:b/>
      <w:bCs/>
    </w:rPr>
  </w:style>
  <w:style w:type="table" w:styleId="TableauListe3">
    <w:name w:val="List Table 3"/>
    <w:basedOn w:val="TableauNormal"/>
    <w:uiPriority w:val="48"/>
    <w:rsid w:val="006939F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MDPI51figurecaption">
    <w:name w:val="MDPI_5.1_figure_caption"/>
    <w:basedOn w:val="Normal"/>
    <w:qFormat/>
    <w:rsid w:val="002F522D"/>
    <w:pPr>
      <w:overflowPunct/>
      <w:autoSpaceDE/>
      <w:autoSpaceDN/>
      <w:snapToGrid w:val="0"/>
      <w:spacing w:before="120" w:after="240" w:line="260" w:lineRule="atLeast"/>
      <w:ind w:left="425" w:right="425"/>
      <w:textAlignment w:val="auto"/>
    </w:pPr>
    <w:rPr>
      <w:rFonts w:ascii="Palatino Linotype" w:hAnsi="Palatino Linotype"/>
      <w:color w:val="000000"/>
      <w:sz w:val="18"/>
      <w:lang w:val="en-US" w:eastAsia="de-DE" w:bidi="en-US"/>
    </w:rPr>
  </w:style>
  <w:style w:type="paragraph" w:customStyle="1" w:styleId="MDPI52figure">
    <w:name w:val="MDPI_5.2_figure"/>
    <w:qFormat/>
    <w:rsid w:val="002F522D"/>
    <w:pPr>
      <w:spacing w:after="0" w:line="240" w:lineRule="auto"/>
      <w:jc w:val="center"/>
    </w:pPr>
    <w:rPr>
      <w:rFonts w:ascii="Palatino Linotype" w:eastAsia="Times New Roman" w:hAnsi="Palatino Linotype" w:cs="Times New Roman"/>
      <w:snapToGrid w:val="0"/>
      <w:color w:val="000000"/>
      <w:sz w:val="24"/>
      <w:szCs w:val="20"/>
      <w:lang w:val="en-US" w:eastAsia="de-DE" w:bidi="en-US"/>
    </w:rPr>
  </w:style>
  <w:style w:type="paragraph" w:styleId="Rvision">
    <w:name w:val="Revision"/>
    <w:hidden/>
    <w:uiPriority w:val="99"/>
    <w:semiHidden/>
    <w:rsid w:val="00EA4CDE"/>
    <w:pPr>
      <w:spacing w:after="0" w:line="240" w:lineRule="auto"/>
    </w:pPr>
    <w:rPr>
      <w:rFonts w:ascii="Calibri" w:eastAsia="Times New Roman" w:hAnsi="Calibri" w:cs="Times New Roman"/>
      <w:szCs w:val="20"/>
      <w:lang w:eastAsia="fr-FR"/>
    </w:rPr>
  </w:style>
  <w:style w:type="paragraph" w:styleId="Notedebasdepage">
    <w:name w:val="footnote text"/>
    <w:basedOn w:val="Normal"/>
    <w:link w:val="NotedebasdepageCar"/>
    <w:uiPriority w:val="99"/>
    <w:semiHidden/>
    <w:unhideWhenUsed/>
    <w:rsid w:val="00EA4CDE"/>
    <w:rPr>
      <w:sz w:val="20"/>
    </w:rPr>
  </w:style>
  <w:style w:type="character" w:customStyle="1" w:styleId="NotedebasdepageCar">
    <w:name w:val="Note de bas de page Car"/>
    <w:basedOn w:val="Policepardfaut"/>
    <w:link w:val="Notedebasdepage"/>
    <w:uiPriority w:val="99"/>
    <w:semiHidden/>
    <w:rsid w:val="00EA4CDE"/>
    <w:rPr>
      <w:rFonts w:ascii="Calibri" w:eastAsia="Times New Roman" w:hAnsi="Calibri" w:cs="Times New Roman"/>
      <w:sz w:val="20"/>
      <w:szCs w:val="20"/>
      <w:lang w:eastAsia="fr-FR"/>
    </w:rPr>
  </w:style>
  <w:style w:type="paragraph" w:styleId="Notedefin">
    <w:name w:val="endnote text"/>
    <w:basedOn w:val="Normal"/>
    <w:link w:val="NotedefinCar"/>
    <w:uiPriority w:val="99"/>
    <w:semiHidden/>
    <w:unhideWhenUsed/>
    <w:rsid w:val="00F33019"/>
    <w:rPr>
      <w:sz w:val="20"/>
    </w:rPr>
  </w:style>
  <w:style w:type="character" w:customStyle="1" w:styleId="NotedefinCar">
    <w:name w:val="Note de fin Car"/>
    <w:basedOn w:val="Policepardfaut"/>
    <w:link w:val="Notedefin"/>
    <w:uiPriority w:val="99"/>
    <w:semiHidden/>
    <w:rsid w:val="00F33019"/>
    <w:rPr>
      <w:rFonts w:ascii="Calibri" w:eastAsia="Times New Roman" w:hAnsi="Calibri" w:cs="Times New Roman"/>
      <w:sz w:val="20"/>
      <w:szCs w:val="20"/>
      <w:lang w:eastAsia="fr-FR"/>
    </w:rPr>
  </w:style>
  <w:style w:type="character" w:styleId="Appeldenotedefin">
    <w:name w:val="endnote reference"/>
    <w:basedOn w:val="Policepardfaut"/>
    <w:uiPriority w:val="99"/>
    <w:semiHidden/>
    <w:unhideWhenUsed/>
    <w:rsid w:val="00F33019"/>
    <w:rPr>
      <w:vertAlign w:val="superscript"/>
    </w:rPr>
  </w:style>
  <w:style w:type="paragraph" w:styleId="En-tte">
    <w:name w:val="header"/>
    <w:basedOn w:val="Normal"/>
    <w:link w:val="En-tteCar"/>
    <w:uiPriority w:val="99"/>
    <w:unhideWhenUsed/>
    <w:rsid w:val="00237B6F"/>
    <w:pPr>
      <w:tabs>
        <w:tab w:val="center" w:pos="4536"/>
        <w:tab w:val="right" w:pos="9072"/>
      </w:tabs>
    </w:pPr>
  </w:style>
  <w:style w:type="character" w:customStyle="1" w:styleId="En-tteCar">
    <w:name w:val="En-tête Car"/>
    <w:basedOn w:val="Policepardfaut"/>
    <w:link w:val="En-tte"/>
    <w:uiPriority w:val="99"/>
    <w:rsid w:val="00237B6F"/>
    <w:rPr>
      <w:rFonts w:ascii="Calibri" w:eastAsia="Times New Roman" w:hAnsi="Calibri" w:cs="Times New Roman"/>
      <w:szCs w:val="20"/>
      <w:lang w:eastAsia="fr-FR"/>
    </w:rPr>
  </w:style>
  <w:style w:type="paragraph" w:styleId="Pieddepage">
    <w:name w:val="footer"/>
    <w:basedOn w:val="Normal"/>
    <w:link w:val="PieddepageCar"/>
    <w:uiPriority w:val="99"/>
    <w:unhideWhenUsed/>
    <w:rsid w:val="00237B6F"/>
    <w:pPr>
      <w:tabs>
        <w:tab w:val="center" w:pos="4536"/>
        <w:tab w:val="right" w:pos="9072"/>
      </w:tabs>
    </w:pPr>
  </w:style>
  <w:style w:type="character" w:customStyle="1" w:styleId="PieddepageCar">
    <w:name w:val="Pied de page Car"/>
    <w:basedOn w:val="Policepardfaut"/>
    <w:link w:val="Pieddepage"/>
    <w:uiPriority w:val="99"/>
    <w:rsid w:val="00237B6F"/>
    <w:rPr>
      <w:rFonts w:ascii="Calibri" w:eastAsia="Times New Roman" w:hAnsi="Calibri" w:cs="Times New Roman"/>
      <w:szCs w:val="20"/>
      <w:lang w:eastAsia="fr-FR"/>
    </w:rPr>
  </w:style>
  <w:style w:type="paragraph" w:styleId="NormalWeb">
    <w:name w:val="Normal (Web)"/>
    <w:basedOn w:val="Normal"/>
    <w:uiPriority w:val="99"/>
    <w:semiHidden/>
    <w:unhideWhenUsed/>
    <w:rsid w:val="00721E89"/>
    <w:pPr>
      <w:overflowPunct/>
      <w:autoSpaceDE/>
      <w:autoSpaceDN/>
      <w:adjustRightInd/>
      <w:spacing w:before="100" w:beforeAutospacing="1" w:after="100" w:afterAutospacing="1"/>
      <w:jc w:val="left"/>
      <w:textAlignment w:val="auto"/>
    </w:pPr>
    <w:rPr>
      <w:rFonts w:ascii="Times New Roman" w:eastAsiaTheme="minorEastAsia"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1100">
      <w:bodyDiv w:val="1"/>
      <w:marLeft w:val="0"/>
      <w:marRight w:val="0"/>
      <w:marTop w:val="0"/>
      <w:marBottom w:val="0"/>
      <w:divBdr>
        <w:top w:val="none" w:sz="0" w:space="0" w:color="auto"/>
        <w:left w:val="none" w:sz="0" w:space="0" w:color="auto"/>
        <w:bottom w:val="none" w:sz="0" w:space="0" w:color="auto"/>
        <w:right w:val="none" w:sz="0" w:space="0" w:color="auto"/>
      </w:divBdr>
    </w:div>
    <w:div w:id="262961134">
      <w:bodyDiv w:val="1"/>
      <w:marLeft w:val="0"/>
      <w:marRight w:val="0"/>
      <w:marTop w:val="0"/>
      <w:marBottom w:val="0"/>
      <w:divBdr>
        <w:top w:val="none" w:sz="0" w:space="0" w:color="auto"/>
        <w:left w:val="none" w:sz="0" w:space="0" w:color="auto"/>
        <w:bottom w:val="none" w:sz="0" w:space="0" w:color="auto"/>
        <w:right w:val="none" w:sz="0" w:space="0" w:color="auto"/>
      </w:divBdr>
    </w:div>
    <w:div w:id="308363978">
      <w:bodyDiv w:val="1"/>
      <w:marLeft w:val="0"/>
      <w:marRight w:val="0"/>
      <w:marTop w:val="0"/>
      <w:marBottom w:val="0"/>
      <w:divBdr>
        <w:top w:val="none" w:sz="0" w:space="0" w:color="auto"/>
        <w:left w:val="none" w:sz="0" w:space="0" w:color="auto"/>
        <w:bottom w:val="none" w:sz="0" w:space="0" w:color="auto"/>
        <w:right w:val="none" w:sz="0" w:space="0" w:color="auto"/>
      </w:divBdr>
    </w:div>
    <w:div w:id="589630541">
      <w:bodyDiv w:val="1"/>
      <w:marLeft w:val="0"/>
      <w:marRight w:val="0"/>
      <w:marTop w:val="0"/>
      <w:marBottom w:val="0"/>
      <w:divBdr>
        <w:top w:val="none" w:sz="0" w:space="0" w:color="auto"/>
        <w:left w:val="none" w:sz="0" w:space="0" w:color="auto"/>
        <w:bottom w:val="none" w:sz="0" w:space="0" w:color="auto"/>
        <w:right w:val="none" w:sz="0" w:space="0" w:color="auto"/>
      </w:divBdr>
    </w:div>
    <w:div w:id="880362674">
      <w:bodyDiv w:val="1"/>
      <w:marLeft w:val="0"/>
      <w:marRight w:val="0"/>
      <w:marTop w:val="0"/>
      <w:marBottom w:val="0"/>
      <w:divBdr>
        <w:top w:val="none" w:sz="0" w:space="0" w:color="auto"/>
        <w:left w:val="none" w:sz="0" w:space="0" w:color="auto"/>
        <w:bottom w:val="none" w:sz="0" w:space="0" w:color="auto"/>
        <w:right w:val="none" w:sz="0" w:space="0" w:color="auto"/>
      </w:divBdr>
    </w:div>
    <w:div w:id="981427224">
      <w:bodyDiv w:val="1"/>
      <w:marLeft w:val="0"/>
      <w:marRight w:val="0"/>
      <w:marTop w:val="0"/>
      <w:marBottom w:val="0"/>
      <w:divBdr>
        <w:top w:val="none" w:sz="0" w:space="0" w:color="auto"/>
        <w:left w:val="none" w:sz="0" w:space="0" w:color="auto"/>
        <w:bottom w:val="none" w:sz="0" w:space="0" w:color="auto"/>
        <w:right w:val="none" w:sz="0" w:space="0" w:color="auto"/>
      </w:divBdr>
    </w:div>
    <w:div w:id="1097484266">
      <w:bodyDiv w:val="1"/>
      <w:marLeft w:val="0"/>
      <w:marRight w:val="0"/>
      <w:marTop w:val="0"/>
      <w:marBottom w:val="0"/>
      <w:divBdr>
        <w:top w:val="none" w:sz="0" w:space="0" w:color="auto"/>
        <w:left w:val="none" w:sz="0" w:space="0" w:color="auto"/>
        <w:bottom w:val="none" w:sz="0" w:space="0" w:color="auto"/>
        <w:right w:val="none" w:sz="0" w:space="0" w:color="auto"/>
      </w:divBdr>
    </w:div>
    <w:div w:id="1163817702">
      <w:bodyDiv w:val="1"/>
      <w:marLeft w:val="0"/>
      <w:marRight w:val="0"/>
      <w:marTop w:val="0"/>
      <w:marBottom w:val="0"/>
      <w:divBdr>
        <w:top w:val="none" w:sz="0" w:space="0" w:color="auto"/>
        <w:left w:val="none" w:sz="0" w:space="0" w:color="auto"/>
        <w:bottom w:val="none" w:sz="0" w:space="0" w:color="auto"/>
        <w:right w:val="none" w:sz="0" w:space="0" w:color="auto"/>
      </w:divBdr>
    </w:div>
    <w:div w:id="1243221663">
      <w:bodyDiv w:val="1"/>
      <w:marLeft w:val="0"/>
      <w:marRight w:val="0"/>
      <w:marTop w:val="0"/>
      <w:marBottom w:val="0"/>
      <w:divBdr>
        <w:top w:val="none" w:sz="0" w:space="0" w:color="auto"/>
        <w:left w:val="none" w:sz="0" w:space="0" w:color="auto"/>
        <w:bottom w:val="none" w:sz="0" w:space="0" w:color="auto"/>
        <w:right w:val="none" w:sz="0" w:space="0" w:color="auto"/>
      </w:divBdr>
    </w:div>
    <w:div w:id="172367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FFD99-A588-455B-A8E0-1948061B6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17920</TotalTime>
  <Pages>11</Pages>
  <Words>2403</Words>
  <Characters>13222</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EDF</Company>
  <LinksUpToDate>false</LinksUpToDate>
  <CharactersWithSpaces>15594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Silun</dc:creator>
  <cp:keywords/>
  <dc:description/>
  <cp:lastModifiedBy>ZHANG Silun</cp:lastModifiedBy>
  <cp:revision>4874</cp:revision>
  <cp:lastPrinted>2018-10-29T23:36:00Z</cp:lastPrinted>
  <dcterms:created xsi:type="dcterms:W3CDTF">2018-09-27T08:39:00Z</dcterms:created>
  <dcterms:modified xsi:type="dcterms:W3CDTF">2018-11-23T13:39:00Z</dcterms:modified>
</cp:coreProperties>
</file>