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60" w:rsidRDefault="00D346EC" w:rsidP="00D346EC">
      <w:pPr>
        <w:pStyle w:val="Titre"/>
      </w:pPr>
      <w:r>
        <w:t>Chapitre IV</w:t>
      </w:r>
      <w:r w:rsidR="00EB6BBB">
        <w:t> : Analyse numérique de l’effet Morton</w:t>
      </w:r>
    </w:p>
    <w:p w:rsidR="00D346EC" w:rsidRDefault="00D346EC" w:rsidP="00D346EC">
      <w:bookmarkStart w:id="0" w:name="_GoBack"/>
      <w:bookmarkEnd w:id="0"/>
    </w:p>
    <w:p w:rsidR="00EB6BBB" w:rsidRDefault="00EB6BBB" w:rsidP="00D346EC">
      <w:r>
        <w:t>Introduction</w:t>
      </w:r>
    </w:p>
    <w:p w:rsidR="00D346EC" w:rsidRPr="00D346EC" w:rsidRDefault="00D346EC" w:rsidP="00D346EC"/>
    <w:p w:rsidR="00407B56" w:rsidRDefault="00A67191">
      <w:r>
        <w:t>Les influences liées à la dynamique suite à la déformation</w:t>
      </w:r>
    </w:p>
    <w:p w:rsidR="00A67191" w:rsidRDefault="00A67191" w:rsidP="00866AC9">
      <w:pPr>
        <w:pStyle w:val="Paragraphedeliste"/>
        <w:numPr>
          <w:ilvl w:val="0"/>
          <w:numId w:val="1"/>
        </w:numPr>
      </w:pPr>
      <w:r>
        <w:t>Modélisation des masses concentrées</w:t>
      </w:r>
    </w:p>
    <w:p w:rsidR="00A67191" w:rsidRDefault="00A67191" w:rsidP="00866AC9">
      <w:pPr>
        <w:pStyle w:val="Paragraphedeliste"/>
        <w:numPr>
          <w:ilvl w:val="0"/>
          <w:numId w:val="1"/>
        </w:numPr>
      </w:pPr>
      <w:r>
        <w:t>Modélisation du défaut de fibre neutre</w:t>
      </w:r>
    </w:p>
    <w:p w:rsidR="00565CD5" w:rsidRDefault="00565CD5"/>
    <w:p w:rsidR="00565CD5" w:rsidRDefault="001C0B36">
      <w:r>
        <w:t>Origine du c</w:t>
      </w:r>
      <w:r w:rsidR="00E749ED">
        <w:t>hangement de phases</w:t>
      </w:r>
    </w:p>
    <w:sectPr w:rsidR="00565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C7E4F"/>
    <w:multiLevelType w:val="hybridMultilevel"/>
    <w:tmpl w:val="8172531E"/>
    <w:lvl w:ilvl="0" w:tplc="6DD610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2B"/>
    <w:rsid w:val="000F3C60"/>
    <w:rsid w:val="001C0B36"/>
    <w:rsid w:val="0026231B"/>
    <w:rsid w:val="0047132B"/>
    <w:rsid w:val="005041B6"/>
    <w:rsid w:val="00565CD5"/>
    <w:rsid w:val="006D01E9"/>
    <w:rsid w:val="00866AC9"/>
    <w:rsid w:val="00A67191"/>
    <w:rsid w:val="00B31F68"/>
    <w:rsid w:val="00B81E16"/>
    <w:rsid w:val="00D346EC"/>
    <w:rsid w:val="00E749ED"/>
    <w:rsid w:val="00E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3AB909-29EF-402C-87E2-AF3AB02C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6AC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34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11</cp:revision>
  <dcterms:created xsi:type="dcterms:W3CDTF">2018-10-09T07:57:00Z</dcterms:created>
  <dcterms:modified xsi:type="dcterms:W3CDTF">2018-11-14T17:56:00Z</dcterms:modified>
</cp:coreProperties>
</file>